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9C0E" w14:textId="534E39C5" w:rsidR="00EA03C0" w:rsidRPr="00D56420" w:rsidRDefault="00EA03C0" w:rsidP="00093BCC">
      <w:pPr>
        <w:spacing w:after="0"/>
        <w:rPr>
          <w:rFonts w:ascii="Times New Roman" w:hAnsi="Times New Roman" w:cs="Times New Roman"/>
          <w:lang w:val="sr-Cyrl-RS"/>
        </w:rPr>
      </w:pPr>
      <w:bookmarkStart w:id="0" w:name="_Hlk197601559"/>
    </w:p>
    <w:p w14:paraId="0A80BA21" w14:textId="22668E25" w:rsidR="00EA03C0" w:rsidRPr="00D56420" w:rsidRDefault="00EA03C0" w:rsidP="00093BCC">
      <w:pPr>
        <w:spacing w:after="0"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На основу члана 5. ст</w:t>
      </w:r>
      <w:r w:rsidR="00FE240C" w:rsidRPr="00D56420">
        <w:rPr>
          <w:rFonts w:ascii="Times New Roman" w:hAnsi="Times New Roman" w:cs="Times New Roman"/>
          <w:lang w:val="sr-Cyrl-RS"/>
        </w:rPr>
        <w:t>.</w:t>
      </w:r>
      <w:r w:rsidRPr="00D56420">
        <w:rPr>
          <w:rFonts w:ascii="Times New Roman" w:hAnsi="Times New Roman" w:cs="Times New Roman"/>
          <w:lang w:val="sr-Cyrl-RS"/>
        </w:rPr>
        <w:t xml:space="preserve"> 1. и 2. Закона о процени утицаја на животну средину („Службени гласник РС</w:t>
      </w:r>
      <w:r w:rsidR="00235E15" w:rsidRPr="00D56420">
        <w:rPr>
          <w:rFonts w:ascii="Times New Roman" w:hAnsi="Times New Roman" w:cs="Times New Roman"/>
          <w:lang w:val="sr-Cyrl-RS"/>
        </w:rPr>
        <w:t>ˮ, број 94/</w:t>
      </w:r>
      <w:r w:rsidRPr="00D56420">
        <w:rPr>
          <w:rFonts w:ascii="Times New Roman" w:hAnsi="Times New Roman" w:cs="Times New Roman"/>
          <w:lang w:val="sr-Cyrl-RS"/>
        </w:rPr>
        <w:t>24) и члана 42. став 1. Закона о Влади („Службени гласник РС</w:t>
      </w:r>
      <w:r w:rsidR="00217025" w:rsidRPr="00D56420">
        <w:rPr>
          <w:rFonts w:ascii="Times New Roman" w:hAnsi="Times New Roman" w:cs="Times New Roman"/>
          <w:lang w:val="sr-Cyrl-RS"/>
        </w:rPr>
        <w:t>ˮ</w:t>
      </w:r>
      <w:r w:rsidRPr="00D56420">
        <w:rPr>
          <w:rFonts w:ascii="Times New Roman" w:hAnsi="Times New Roman" w:cs="Times New Roman"/>
          <w:lang w:val="sr-Cyrl-RS"/>
        </w:rPr>
        <w:t xml:space="preserve">, </w:t>
      </w:r>
      <w:r w:rsidR="00217025" w:rsidRPr="00D56420">
        <w:rPr>
          <w:rFonts w:ascii="Times New Roman" w:hAnsi="Times New Roman" w:cs="Times New Roman"/>
          <w:color w:val="000000"/>
          <w:lang w:val="sr-Cyrl-RS"/>
        </w:rPr>
        <w:t>бр. 55/</w:t>
      </w:r>
      <w:r w:rsidRPr="00D56420">
        <w:rPr>
          <w:rFonts w:ascii="Times New Roman" w:hAnsi="Times New Roman" w:cs="Times New Roman"/>
          <w:color w:val="000000"/>
          <w:lang w:val="sr-Cyrl-RS"/>
        </w:rPr>
        <w:t>05, 71/</w:t>
      </w:r>
      <w:r w:rsidR="002C06C7" w:rsidRPr="00D56420">
        <w:rPr>
          <w:rFonts w:ascii="Times New Roman" w:hAnsi="Times New Roman" w:cs="Times New Roman"/>
          <w:color w:val="000000"/>
          <w:lang w:val="sr-Cyrl-RS"/>
        </w:rPr>
        <w:t>05 - исправка,</w:t>
      </w:r>
      <w:r w:rsidRPr="00D56420">
        <w:rPr>
          <w:rFonts w:ascii="Times New Roman" w:hAnsi="Times New Roman" w:cs="Times New Roman"/>
          <w:color w:val="000000"/>
          <w:lang w:val="sr-Cyrl-RS"/>
        </w:rPr>
        <w:t xml:space="preserve"> 101/07, 65/08, 16/11, 68/12 - УС, 72/12, 7/14 - </w:t>
      </w:r>
      <w:r w:rsidR="002C06C7" w:rsidRPr="00D56420">
        <w:rPr>
          <w:rFonts w:ascii="Times New Roman" w:hAnsi="Times New Roman" w:cs="Times New Roman"/>
          <w:color w:val="000000"/>
          <w:lang w:val="sr-Cyrl-RS"/>
        </w:rPr>
        <w:t>УС, 44/</w:t>
      </w:r>
      <w:r w:rsidRPr="00D56420">
        <w:rPr>
          <w:rFonts w:ascii="Times New Roman" w:hAnsi="Times New Roman" w:cs="Times New Roman"/>
          <w:color w:val="000000"/>
          <w:lang w:val="sr-Cyrl-RS"/>
        </w:rPr>
        <w:t>14 и 30/18 - др. закон)</w:t>
      </w:r>
      <w:r w:rsidR="00FE240C" w:rsidRPr="00D56420">
        <w:rPr>
          <w:rFonts w:ascii="Times New Roman" w:hAnsi="Times New Roman" w:cs="Times New Roman"/>
          <w:color w:val="000000"/>
          <w:lang w:val="sr-Cyrl-RS"/>
        </w:rPr>
        <w:t>,</w:t>
      </w:r>
      <w:r w:rsidRPr="00D56420">
        <w:rPr>
          <w:rFonts w:ascii="Times New Roman" w:hAnsi="Times New Roman" w:cs="Times New Roman"/>
          <w:lang w:val="sr-Cyrl-RS"/>
        </w:rPr>
        <w:t xml:space="preserve"> </w:t>
      </w:r>
    </w:p>
    <w:p w14:paraId="07712CFA" w14:textId="77777777" w:rsidR="00EA03C0" w:rsidRPr="00D56420" w:rsidRDefault="00EA03C0" w:rsidP="00FE240C">
      <w:pPr>
        <w:pStyle w:val="Normal1"/>
        <w:shd w:val="clear" w:color="auto" w:fill="FFFFFF"/>
        <w:ind w:firstLine="720"/>
        <w:jc w:val="both"/>
        <w:rPr>
          <w:color w:val="000000"/>
          <w:lang w:val="sr-Cyrl-RS"/>
        </w:rPr>
      </w:pPr>
      <w:r w:rsidRPr="00D56420">
        <w:rPr>
          <w:lang w:val="sr-Cyrl-RS"/>
        </w:rPr>
        <w:t xml:space="preserve">Влада </w:t>
      </w:r>
      <w:r w:rsidRPr="00D56420">
        <w:rPr>
          <w:color w:val="000000"/>
          <w:lang w:val="sr-Cyrl-RS"/>
        </w:rPr>
        <w:t>доноси</w:t>
      </w:r>
    </w:p>
    <w:p w14:paraId="1BD73403" w14:textId="77777777" w:rsidR="00EA03C0" w:rsidRPr="00D56420" w:rsidRDefault="00EA03C0" w:rsidP="00EA03C0">
      <w:pPr>
        <w:pStyle w:val="Normal1"/>
        <w:shd w:val="clear" w:color="auto" w:fill="FFFFFF"/>
        <w:jc w:val="center"/>
        <w:rPr>
          <w:color w:val="000000"/>
          <w:lang w:val="sr-Cyrl-RS"/>
        </w:rPr>
      </w:pPr>
      <w:r w:rsidRPr="00D56420">
        <w:rPr>
          <w:color w:val="000000"/>
          <w:lang w:val="sr-Cyrl-RS"/>
        </w:rPr>
        <w:t xml:space="preserve">УРЕДБУ </w:t>
      </w:r>
    </w:p>
    <w:p w14:paraId="55B4F10C" w14:textId="5FCEFDAF" w:rsidR="00AE45FE" w:rsidRPr="00D56420" w:rsidRDefault="002C06C7" w:rsidP="004E73A8">
      <w:pPr>
        <w:pStyle w:val="Normal1"/>
        <w:shd w:val="clear" w:color="auto" w:fill="FFFFFF"/>
        <w:jc w:val="center"/>
        <w:rPr>
          <w:color w:val="000000" w:themeColor="text1"/>
          <w:lang w:val="sr-Cyrl-RS"/>
        </w:rPr>
      </w:pPr>
      <w:r w:rsidRPr="00D56420">
        <w:rPr>
          <w:color w:val="000000"/>
          <w:lang w:val="sr-Cyrl-RS"/>
        </w:rPr>
        <w:t xml:space="preserve">О ЛИСТИ ПРОЈЕКАТА ЗА КОЈЕ ЈЕ ОБАВЕЗНА ПРОЦЕНА УТИЦАЈА НА ЖИВОТНУ СРЕДИНУ, ЛИСТИ ПРОЈЕКАТА ЗА КОЈЕ </w:t>
      </w:r>
      <w:r w:rsidRPr="00D56420">
        <w:rPr>
          <w:color w:val="000000" w:themeColor="text1"/>
          <w:lang w:val="sr-Cyrl-RS"/>
        </w:rPr>
        <w:t>ПОСТОЈИ ОБАВЕЗА ПОДНОШЕЊА ЗАХТЕВА ЗА ОДЛУЧИВАЊЕ О ПОТРЕБИ ПРОЦЕНЕ УТИЦАЈА НА ЖИВОТНУ СРЕДИНУ И КРИТЕРИЈУМИМА ЗА ОДЛУЧИВАЊЕ О ПОТРЕБИ ПРОЦЕНЕ УТИЦАЈА НА ЖИВОТНУ СРЕДИНУ</w:t>
      </w:r>
    </w:p>
    <w:p w14:paraId="737DB030" w14:textId="0E25A844" w:rsidR="00EA03C0" w:rsidRPr="00D56420" w:rsidRDefault="00EA03C0" w:rsidP="00EA03C0">
      <w:pPr>
        <w:pStyle w:val="Normal1"/>
        <w:shd w:val="clear" w:color="auto" w:fill="FFFFFF"/>
        <w:jc w:val="center"/>
        <w:rPr>
          <w:color w:val="000000"/>
          <w:lang w:val="sr-Cyrl-RS"/>
        </w:rPr>
      </w:pPr>
      <w:r w:rsidRPr="00D56420">
        <w:rPr>
          <w:color w:val="000000"/>
          <w:lang w:val="sr-Cyrl-RS"/>
        </w:rPr>
        <w:t>Члан 1.</w:t>
      </w:r>
    </w:p>
    <w:p w14:paraId="4F72D5E2" w14:textId="255FEAC9" w:rsidR="00AE45FE" w:rsidRPr="00D56420" w:rsidRDefault="00561C99" w:rsidP="004E73A8">
      <w:pPr>
        <w:pStyle w:val="Normal1"/>
        <w:shd w:val="clear" w:color="auto" w:fill="FFFFFF"/>
        <w:ind w:firstLine="720"/>
        <w:jc w:val="both"/>
        <w:rPr>
          <w:color w:val="000000"/>
          <w:lang w:val="sr-Cyrl-RS"/>
        </w:rPr>
      </w:pPr>
      <w:r w:rsidRPr="00D56420">
        <w:rPr>
          <w:color w:val="000000"/>
          <w:lang w:val="sr-Cyrl-RS"/>
        </w:rPr>
        <w:t>Овом уредбом пропис</w:t>
      </w:r>
      <w:r w:rsidR="00EA03C0" w:rsidRPr="00D56420">
        <w:rPr>
          <w:color w:val="000000"/>
          <w:lang w:val="sr-Cyrl-RS"/>
        </w:rPr>
        <w:t>ује се Листа пројеката за које је обавезна процена утицаја на животну средину, Л</w:t>
      </w:r>
      <w:r w:rsidR="00EA03C0" w:rsidRPr="00D56420">
        <w:rPr>
          <w:color w:val="000000" w:themeColor="text1"/>
          <w:lang w:val="sr-Cyrl-RS"/>
        </w:rPr>
        <w:t xml:space="preserve">иста пројеката за које постоји обавеза подношења захтева за одлучивање о потреби процене утицаја </w:t>
      </w:r>
      <w:r w:rsidR="00EA03C0" w:rsidRPr="00D56420">
        <w:rPr>
          <w:color w:val="000000"/>
          <w:lang w:val="sr-Cyrl-RS"/>
        </w:rPr>
        <w:t>и критеријуми за одлучивање о потреби процене утицаја за пројекте за које постоји обавеза подношења захтева за одлучивање о потреби процене утицаја.</w:t>
      </w:r>
    </w:p>
    <w:p w14:paraId="128E2BB3" w14:textId="199049FB" w:rsidR="00EA03C0" w:rsidRPr="00D56420" w:rsidRDefault="00EA03C0" w:rsidP="00EA03C0">
      <w:pPr>
        <w:pStyle w:val="Normal1"/>
        <w:shd w:val="clear" w:color="auto" w:fill="FFFFFF"/>
        <w:jc w:val="center"/>
        <w:rPr>
          <w:color w:val="000000"/>
          <w:lang w:val="sr-Cyrl-RS"/>
        </w:rPr>
      </w:pPr>
      <w:r w:rsidRPr="00D56420">
        <w:rPr>
          <w:color w:val="000000"/>
          <w:lang w:val="sr-Cyrl-RS"/>
        </w:rPr>
        <w:t>Члан 2.</w:t>
      </w:r>
    </w:p>
    <w:p w14:paraId="40536D10" w14:textId="41AD3F09" w:rsidR="00EA03C0" w:rsidRPr="00D56420" w:rsidRDefault="002C06C7" w:rsidP="004E73A8">
      <w:pPr>
        <w:pStyle w:val="Normal1"/>
        <w:shd w:val="clear" w:color="auto" w:fill="FFFFFF"/>
        <w:ind w:firstLine="720"/>
        <w:jc w:val="both"/>
        <w:rPr>
          <w:color w:val="000000"/>
          <w:lang w:val="sr-Cyrl-RS"/>
        </w:rPr>
      </w:pPr>
      <w:r w:rsidRPr="00D56420">
        <w:rPr>
          <w:color w:val="000000"/>
          <w:lang w:val="sr-Cyrl-RS"/>
        </w:rPr>
        <w:t>Поједини и</w:t>
      </w:r>
      <w:r w:rsidR="00EA03C0" w:rsidRPr="00D56420">
        <w:rPr>
          <w:color w:val="000000"/>
          <w:lang w:val="sr-Cyrl-RS"/>
        </w:rPr>
        <w:t>зрази употребљени у овој уредби имају следеће значење:</w:t>
      </w:r>
    </w:p>
    <w:p w14:paraId="1C686E59" w14:textId="55DD3983" w:rsidR="00EA03C0" w:rsidRPr="00D56420" w:rsidRDefault="00BC2BB7" w:rsidP="004E73A8">
      <w:pPr>
        <w:spacing w:after="0"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1</w:t>
      </w:r>
      <w:r w:rsidR="00EA03C0" w:rsidRPr="00D56420">
        <w:rPr>
          <w:rFonts w:ascii="Times New Roman" w:hAnsi="Times New Roman" w:cs="Times New Roman"/>
          <w:lang w:val="sr-Cyrl-RS"/>
        </w:rPr>
        <w:t xml:space="preserve">) </w:t>
      </w:r>
      <w:bookmarkStart w:id="1" w:name="_Hlk190957551"/>
      <w:r w:rsidR="0004167A" w:rsidRPr="00D56420">
        <w:rPr>
          <w:rFonts w:ascii="Times New Roman" w:hAnsi="Times New Roman" w:cs="Times New Roman"/>
          <w:i/>
          <w:iCs/>
          <w:lang w:val="sr-Cyrl-RS"/>
        </w:rPr>
        <w:t>з</w:t>
      </w:r>
      <w:r w:rsidR="00EA03C0" w:rsidRPr="00D56420">
        <w:rPr>
          <w:rFonts w:ascii="Times New Roman" w:hAnsi="Times New Roman" w:cs="Times New Roman"/>
          <w:i/>
          <w:iCs/>
          <w:lang w:val="sr-Cyrl-RS"/>
        </w:rPr>
        <w:t>аштићена подручја</w:t>
      </w:r>
      <w:bookmarkEnd w:id="1"/>
      <w:r w:rsidR="00EA03C0" w:rsidRPr="00D56420">
        <w:rPr>
          <w:rFonts w:ascii="Times New Roman" w:hAnsi="Times New Roman" w:cs="Times New Roman"/>
          <w:lang w:val="sr-Cyrl-RS"/>
        </w:rPr>
        <w:t xml:space="preserve">  су подручја која имају изражену геолошку, биолошку, екосистемску</w:t>
      </w:r>
      <w:r w:rsidR="007737DA">
        <w:rPr>
          <w:rFonts w:ascii="Times New Roman" w:hAnsi="Times New Roman" w:cs="Times New Roman"/>
          <w:lang w:val="sr-Cyrl-RS"/>
        </w:rPr>
        <w:t xml:space="preserve"> </w:t>
      </w:r>
      <w:r w:rsidR="00EA03C0" w:rsidRPr="00D56420">
        <w:rPr>
          <w:rFonts w:ascii="Times New Roman" w:hAnsi="Times New Roman" w:cs="Times New Roman"/>
          <w:lang w:val="sr-Cyrl-RS"/>
        </w:rPr>
        <w:t>и/или предеону разноврсност због чега се актом о заштити проглашавају заштићеним подручјима од општег интереса (строги резерват природе, специјални резерват природе, национални парк, споменик природе, заштићено станиште, предео изузетних одлика и парк природе);</w:t>
      </w:r>
    </w:p>
    <w:p w14:paraId="5F2E9A98" w14:textId="57A5853B" w:rsidR="000E11D6" w:rsidRPr="00D56420" w:rsidRDefault="00BC2BB7" w:rsidP="004E73A8">
      <w:pPr>
        <w:spacing w:after="0"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2</w:t>
      </w:r>
      <w:r w:rsidR="00EA03C0" w:rsidRPr="00D56420">
        <w:rPr>
          <w:rFonts w:ascii="Times New Roman" w:hAnsi="Times New Roman" w:cs="Times New Roman"/>
          <w:lang w:val="sr-Cyrl-RS"/>
        </w:rPr>
        <w:t>)</w:t>
      </w:r>
      <w:r w:rsidR="0004167A" w:rsidRPr="00D56420">
        <w:rPr>
          <w:rFonts w:ascii="Times New Roman" w:hAnsi="Times New Roman" w:cs="Times New Roman"/>
          <w:lang w:val="sr-Cyrl-RS"/>
        </w:rPr>
        <w:t xml:space="preserve"> </w:t>
      </w:r>
      <w:r w:rsidR="0004167A" w:rsidRPr="00D56420">
        <w:rPr>
          <w:rFonts w:ascii="Times New Roman" w:hAnsi="Times New Roman" w:cs="Times New Roman"/>
          <w:i/>
          <w:lang w:val="sr-Cyrl-RS"/>
        </w:rPr>
        <w:t>б</w:t>
      </w:r>
      <w:r w:rsidR="00EA03C0" w:rsidRPr="00D56420">
        <w:rPr>
          <w:rFonts w:ascii="Times New Roman" w:hAnsi="Times New Roman" w:cs="Times New Roman"/>
          <w:i/>
          <w:iCs/>
          <w:lang w:val="sr-Cyrl-RS"/>
        </w:rPr>
        <w:t>иолошка разноврсност</w:t>
      </w:r>
      <w:r w:rsidR="00EA03C0" w:rsidRPr="00D56420">
        <w:rPr>
          <w:rFonts w:ascii="Times New Roman" w:hAnsi="Times New Roman" w:cs="Times New Roman"/>
          <w:lang w:val="sr-Cyrl-RS"/>
        </w:rPr>
        <w:t xml:space="preserve">  (биодиверзитет) јесте свеукупност гена, врста и екосистема на неком јасно одређеном подручју;</w:t>
      </w:r>
    </w:p>
    <w:p w14:paraId="49A73FD2" w14:textId="5B59D7FB" w:rsidR="00EA03C0" w:rsidRPr="00D56420" w:rsidRDefault="00BC2BB7" w:rsidP="002C06C7">
      <w:pPr>
        <w:spacing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3</w:t>
      </w:r>
      <w:r w:rsidR="00EA03C0" w:rsidRPr="00D56420">
        <w:rPr>
          <w:rFonts w:ascii="Times New Roman" w:hAnsi="Times New Roman" w:cs="Times New Roman"/>
          <w:lang w:val="sr-Cyrl-RS"/>
        </w:rPr>
        <w:t>)</w:t>
      </w:r>
      <w:r w:rsidR="00EA03C0" w:rsidRPr="00D56420">
        <w:rPr>
          <w:rFonts w:ascii="Times New Roman" w:hAnsi="Times New Roman" w:cs="Times New Roman"/>
          <w:i/>
          <w:iCs/>
          <w:lang w:val="sr-Cyrl-RS"/>
        </w:rPr>
        <w:t xml:space="preserve"> </w:t>
      </w:r>
      <w:r w:rsidR="00CF5562" w:rsidRPr="00D56420">
        <w:rPr>
          <w:rFonts w:ascii="Times New Roman" w:hAnsi="Times New Roman" w:cs="Times New Roman"/>
          <w:i/>
          <w:iCs/>
          <w:lang w:val="sr-Cyrl-RS"/>
        </w:rPr>
        <w:t>Е</w:t>
      </w:r>
      <w:r w:rsidR="00EA03C0" w:rsidRPr="00D56420">
        <w:rPr>
          <w:rFonts w:ascii="Times New Roman" w:hAnsi="Times New Roman" w:cs="Times New Roman"/>
          <w:i/>
          <w:iCs/>
          <w:lang w:val="sr-Cyrl-RS"/>
        </w:rPr>
        <w:t>мералд мрежа</w:t>
      </w:r>
      <w:r w:rsidR="00EA03C0" w:rsidRPr="00D56420">
        <w:rPr>
          <w:lang w:val="sr-Cyrl-RS"/>
        </w:rPr>
        <w:t xml:space="preserve"> </w:t>
      </w:r>
      <w:r w:rsidR="00EA03C0" w:rsidRPr="00D56420">
        <w:rPr>
          <w:rFonts w:ascii="Times New Roman" w:hAnsi="Times New Roman" w:cs="Times New Roman"/>
          <w:lang w:val="sr-Cyrl-RS"/>
        </w:rPr>
        <w:t xml:space="preserve">је </w:t>
      </w:r>
      <w:hyperlink r:id="rId8" w:tooltip="Екологија" w:history="1">
        <w:r w:rsidR="00EA03C0" w:rsidRPr="00D56420">
          <w:rPr>
            <w:rStyle w:val="Hyperlink"/>
            <w:rFonts w:ascii="Times New Roman" w:hAnsi="Times New Roman" w:cs="Times New Roman"/>
            <w:color w:val="auto"/>
            <w:u w:val="none"/>
            <w:lang w:val="sr-Cyrl-RS"/>
          </w:rPr>
          <w:t>еколошка</w:t>
        </w:r>
      </w:hyperlink>
      <w:r w:rsidR="00EA03C0" w:rsidRPr="00D56420">
        <w:rPr>
          <w:rFonts w:ascii="Times New Roman" w:hAnsi="Times New Roman" w:cs="Times New Roman"/>
          <w:lang w:val="sr-Cyrl-RS"/>
        </w:rPr>
        <w:t xml:space="preserve"> мрежа коју чине подручја од посебног интереса за заштиту и очување угрожених дивљих врста флоре и фауне и њихових станишта чији је основ за успостављање Конвенција о очувању европске дивље флоре и фауне и природних станишта - </w:t>
      </w:r>
      <w:hyperlink r:id="rId9" w:tooltip="Бернска Конвенција (страница не постоји)" w:history="1">
        <w:r w:rsidR="00EA03C0" w:rsidRPr="00D56420">
          <w:rPr>
            <w:rStyle w:val="Hyperlink"/>
            <w:rFonts w:ascii="Times New Roman" w:hAnsi="Times New Roman" w:cs="Times New Roman"/>
            <w:color w:val="auto"/>
            <w:u w:val="none"/>
            <w:lang w:val="sr-Cyrl-RS"/>
          </w:rPr>
          <w:t>Бернска конвенција</w:t>
        </w:r>
      </w:hyperlink>
      <w:r w:rsidR="00EA03C0" w:rsidRPr="00D56420">
        <w:rPr>
          <w:rFonts w:ascii="Times New Roman" w:hAnsi="Times New Roman" w:cs="Times New Roman"/>
          <w:lang w:val="sr-Cyrl-RS"/>
        </w:rPr>
        <w:t xml:space="preserve"> (Закон о потврђивању Конвенције о очувању европске дивље флоре и фауне и природних станишта</w:t>
      </w:r>
      <w:r w:rsidR="004E73A8" w:rsidRPr="00D56420">
        <w:rPr>
          <w:rFonts w:ascii="Times New Roman" w:hAnsi="Times New Roman" w:cs="Times New Roman"/>
          <w:lang w:val="sr-Cyrl-RS"/>
        </w:rPr>
        <w:t xml:space="preserve"> </w:t>
      </w:r>
      <w:r w:rsidR="00093BCC" w:rsidRPr="00D56420">
        <w:rPr>
          <w:rFonts w:ascii="Times New Roman" w:hAnsi="Times New Roman" w:cs="Times New Roman"/>
          <w:lang w:val="sr-Cyrl-RS"/>
        </w:rPr>
        <w:t>(</w:t>
      </w:r>
      <w:r w:rsidR="00EA03C0" w:rsidRPr="00D56420">
        <w:rPr>
          <w:rFonts w:ascii="Times New Roman" w:hAnsi="Times New Roman" w:cs="Times New Roman"/>
          <w:lang w:val="sr-Cyrl-RS"/>
        </w:rPr>
        <w:t>„Службени гласник РС – Међународни уговори</w:t>
      </w:r>
      <w:r w:rsidR="007B70C6" w:rsidRPr="00D56420">
        <w:rPr>
          <w:rFonts w:ascii="Times New Roman" w:hAnsi="Times New Roman" w:cs="Times New Roman"/>
          <w:lang w:val="sr-Cyrl-RS"/>
        </w:rPr>
        <w:t>ˮ</w:t>
      </w:r>
      <w:r w:rsidR="00EA03C0" w:rsidRPr="00D56420">
        <w:rPr>
          <w:rFonts w:ascii="Times New Roman" w:hAnsi="Times New Roman" w:cs="Times New Roman"/>
          <w:lang w:val="sr-Cyrl-RS"/>
        </w:rPr>
        <w:t xml:space="preserve">, број </w:t>
      </w:r>
      <w:r w:rsidR="007B70C6" w:rsidRPr="00D56420">
        <w:rPr>
          <w:rFonts w:ascii="Times New Roman" w:hAnsi="Times New Roman" w:cs="Times New Roman"/>
          <w:lang w:val="sr-Cyrl-RS"/>
        </w:rPr>
        <w:t>102/</w:t>
      </w:r>
      <w:r w:rsidR="00EA03C0" w:rsidRPr="00D56420">
        <w:rPr>
          <w:rFonts w:ascii="Times New Roman" w:hAnsi="Times New Roman" w:cs="Times New Roman"/>
          <w:lang w:val="sr-Cyrl-RS"/>
        </w:rPr>
        <w:t>07)</w:t>
      </w:r>
      <w:r w:rsidR="00093BCC" w:rsidRPr="00D56420">
        <w:rPr>
          <w:rFonts w:ascii="Times New Roman" w:hAnsi="Times New Roman" w:cs="Times New Roman"/>
          <w:lang w:val="sr-Cyrl-RS"/>
        </w:rPr>
        <w:t>)</w:t>
      </w:r>
      <w:r w:rsidR="00EA03C0" w:rsidRPr="00D56420">
        <w:rPr>
          <w:rFonts w:ascii="Times New Roman" w:hAnsi="Times New Roman" w:cs="Times New Roman"/>
          <w:lang w:val="sr-Cyrl-RS"/>
        </w:rPr>
        <w:t>;</w:t>
      </w:r>
    </w:p>
    <w:p w14:paraId="1F3D893D" w14:textId="36F8F88D" w:rsidR="00EA03C0" w:rsidRPr="00D56420" w:rsidRDefault="00BC2BB7" w:rsidP="004E73A8">
      <w:pPr>
        <w:spacing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4</w:t>
      </w:r>
      <w:r w:rsidR="00EA03C0" w:rsidRPr="00D56420">
        <w:rPr>
          <w:rFonts w:ascii="Times New Roman" w:hAnsi="Times New Roman" w:cs="Times New Roman"/>
          <w:lang w:val="sr-Cyrl-RS"/>
        </w:rPr>
        <w:t xml:space="preserve">) </w:t>
      </w:r>
      <w:r w:rsidR="007B70C6" w:rsidRPr="00D56420">
        <w:rPr>
          <w:rFonts w:ascii="Times New Roman" w:hAnsi="Times New Roman" w:cs="Times New Roman"/>
          <w:i/>
          <w:lang w:val="sr-Cyrl-RS"/>
        </w:rPr>
        <w:t>к</w:t>
      </w:r>
      <w:r w:rsidR="00EA03C0" w:rsidRPr="00D56420">
        <w:rPr>
          <w:rFonts w:ascii="Times New Roman" w:hAnsi="Times New Roman" w:cs="Times New Roman"/>
          <w:i/>
          <w:iCs/>
          <w:lang w:val="sr-Cyrl-RS"/>
        </w:rPr>
        <w:t>апацитет животне средине</w:t>
      </w:r>
      <w:r w:rsidR="00EA03C0" w:rsidRPr="00D56420">
        <w:rPr>
          <w:rFonts w:ascii="Times New Roman" w:hAnsi="Times New Roman" w:cs="Times New Roman"/>
          <w:lang w:val="sr-Cyrl-RS"/>
        </w:rPr>
        <w:t xml:space="preserve"> јесте способност животне средине да прихвати одређену количину загађујућих материја по јединици времена и простора тако да не наступи неповратна штета у животној средини;</w:t>
      </w:r>
    </w:p>
    <w:p w14:paraId="16C6BD15" w14:textId="73DB391C" w:rsidR="00EA03C0" w:rsidRPr="00D56420" w:rsidRDefault="00BC2BB7" w:rsidP="004E73A8">
      <w:pPr>
        <w:spacing w:after="0"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5</w:t>
      </w:r>
      <w:r w:rsidR="00EA03C0" w:rsidRPr="00D56420">
        <w:rPr>
          <w:rFonts w:ascii="Times New Roman" w:hAnsi="Times New Roman" w:cs="Times New Roman"/>
          <w:lang w:val="sr-Cyrl-RS"/>
        </w:rPr>
        <w:t>)</w:t>
      </w:r>
      <w:r w:rsidR="00EA03C0" w:rsidRPr="00D56420">
        <w:rPr>
          <w:lang w:val="sr-Cyrl-RS"/>
        </w:rPr>
        <w:t xml:space="preserve"> </w:t>
      </w:r>
      <w:r w:rsidR="007B70C6" w:rsidRPr="00D56420">
        <w:rPr>
          <w:rFonts w:ascii="Times New Roman" w:hAnsi="Times New Roman" w:cs="Times New Roman"/>
          <w:i/>
          <w:lang w:val="sr-Cyrl-RS"/>
        </w:rPr>
        <w:t>б</w:t>
      </w:r>
      <w:r w:rsidR="00EA03C0" w:rsidRPr="00D56420">
        <w:rPr>
          <w:rFonts w:ascii="Times New Roman" w:hAnsi="Times New Roman" w:cs="Times New Roman"/>
          <w:i/>
          <w:iCs/>
          <w:lang w:val="sr-Cyrl-RS"/>
        </w:rPr>
        <w:t>рзи (експресни) пут</w:t>
      </w:r>
      <w:r w:rsidR="00EA03C0" w:rsidRPr="00D56420">
        <w:rPr>
          <w:rFonts w:ascii="Times New Roman" w:hAnsi="Times New Roman" w:cs="Times New Roman"/>
          <w:lang w:val="sr-Cyrl-RS"/>
        </w:rPr>
        <w:t xml:space="preserve"> је пут одређен за саобраћај аутомобила, на кој</w:t>
      </w:r>
      <w:r w:rsidR="00CF5562" w:rsidRPr="00D56420">
        <w:rPr>
          <w:rFonts w:ascii="Times New Roman" w:hAnsi="Times New Roman" w:cs="Times New Roman"/>
          <w:lang w:val="sr-Cyrl-RS"/>
        </w:rPr>
        <w:t>и</w:t>
      </w:r>
      <w:r w:rsidR="00EA03C0" w:rsidRPr="00D56420">
        <w:rPr>
          <w:rFonts w:ascii="Times New Roman" w:hAnsi="Times New Roman" w:cs="Times New Roman"/>
          <w:lang w:val="sr-Cyrl-RS"/>
        </w:rPr>
        <w:t xml:space="preserve"> се може ући само преко петље или раскрснице, на коме је регулисан саобраћај и забрањено заустављање или стајање;</w:t>
      </w:r>
    </w:p>
    <w:p w14:paraId="615092E3" w14:textId="77777777" w:rsidR="00EA03C0" w:rsidRPr="00D56420" w:rsidRDefault="00EA03C0" w:rsidP="0004167A">
      <w:pPr>
        <w:spacing w:after="0" w:line="240" w:lineRule="auto"/>
        <w:jc w:val="both"/>
        <w:rPr>
          <w:rFonts w:ascii="Times New Roman" w:hAnsi="Times New Roman" w:cs="Times New Roman"/>
          <w:lang w:val="sr-Cyrl-RS"/>
        </w:rPr>
      </w:pPr>
    </w:p>
    <w:p w14:paraId="44DA4A95" w14:textId="778DB2A6" w:rsidR="00EA03C0" w:rsidRPr="00D56420" w:rsidRDefault="00BC2BB7" w:rsidP="00FA3900">
      <w:pPr>
        <w:spacing w:after="0"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lastRenderedPageBreak/>
        <w:t>6</w:t>
      </w:r>
      <w:r w:rsidR="00EA03C0" w:rsidRPr="00D56420">
        <w:rPr>
          <w:rFonts w:ascii="Times New Roman" w:hAnsi="Times New Roman" w:cs="Times New Roman"/>
          <w:lang w:val="sr-Cyrl-RS"/>
        </w:rPr>
        <w:t>)</w:t>
      </w:r>
      <w:r w:rsidR="00EA03C0" w:rsidRPr="00D56420">
        <w:rPr>
          <w:lang w:val="sr-Cyrl-RS"/>
        </w:rPr>
        <w:t xml:space="preserve"> </w:t>
      </w:r>
      <w:r w:rsidR="00E21F51" w:rsidRPr="00D56420">
        <w:rPr>
          <w:rFonts w:ascii="Times New Roman" w:hAnsi="Times New Roman" w:cs="Times New Roman"/>
          <w:i/>
          <w:iCs/>
          <w:lang w:val="sr-Cyrl-RS"/>
        </w:rPr>
        <w:t>п</w:t>
      </w:r>
      <w:r w:rsidR="00EA03C0" w:rsidRPr="00D56420">
        <w:rPr>
          <w:rFonts w:ascii="Times New Roman" w:hAnsi="Times New Roman" w:cs="Times New Roman"/>
          <w:i/>
          <w:iCs/>
          <w:lang w:val="sr-Cyrl-RS"/>
        </w:rPr>
        <w:t xml:space="preserve">ратећи садржаји јавног пута </w:t>
      </w:r>
      <w:r w:rsidR="00EA03C0" w:rsidRPr="00D56420">
        <w:rPr>
          <w:rFonts w:ascii="Times New Roman" w:hAnsi="Times New Roman" w:cs="Times New Roman"/>
          <w:lang w:val="sr-Cyrl-RS"/>
        </w:rPr>
        <w:t>су објекти, постројења и уређаји за ефикасно управљање путевима и саобраћајем (функционални садржаји: базе за одржавање пута, центри за управљање саобраћајем, наплатне станице и др)</w:t>
      </w:r>
      <w:r w:rsidR="009361D3" w:rsidRPr="00D56420">
        <w:rPr>
          <w:rFonts w:ascii="Times New Roman" w:hAnsi="Times New Roman" w:cs="Times New Roman"/>
          <w:lang w:val="sr-Cyrl-RS"/>
        </w:rPr>
        <w:t>,</w:t>
      </w:r>
      <w:r w:rsidR="00EA03C0" w:rsidRPr="00D56420">
        <w:rPr>
          <w:rFonts w:ascii="Times New Roman" w:hAnsi="Times New Roman" w:cs="Times New Roman"/>
          <w:lang w:val="sr-Cyrl-RS"/>
        </w:rPr>
        <w:t xml:space="preserve"> као и за пружање услуга корисницима пута (пратећи садржаји за потребе корисника: станице за снабдевање моторних возила горивом, места за пуњење возила на електрични погон, одморишта, паркиралишта, мотели, ресторани, сервиси, продавнице и други објекти за пружање услуга); </w:t>
      </w:r>
    </w:p>
    <w:p w14:paraId="572DD735" w14:textId="09E6EBB1" w:rsidR="00EA03C0" w:rsidRPr="00D56420" w:rsidRDefault="00BC2BB7" w:rsidP="00FA3900">
      <w:pPr>
        <w:spacing w:after="0"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7</w:t>
      </w:r>
      <w:r w:rsidR="00EA03C0" w:rsidRPr="00D56420">
        <w:rPr>
          <w:rFonts w:ascii="Times New Roman" w:hAnsi="Times New Roman" w:cs="Times New Roman"/>
          <w:lang w:val="sr-Cyrl-RS"/>
        </w:rPr>
        <w:t xml:space="preserve">) </w:t>
      </w:r>
      <w:r w:rsidR="00E21F51" w:rsidRPr="00D56420">
        <w:rPr>
          <w:rFonts w:ascii="Times New Roman" w:hAnsi="Times New Roman" w:cs="Times New Roman"/>
          <w:i/>
          <w:iCs/>
          <w:lang w:val="sr-Cyrl-RS"/>
        </w:rPr>
        <w:t>п</w:t>
      </w:r>
      <w:r w:rsidR="00EA03C0" w:rsidRPr="00D56420">
        <w:rPr>
          <w:rFonts w:ascii="Times New Roman" w:hAnsi="Times New Roman" w:cs="Times New Roman"/>
          <w:i/>
          <w:iCs/>
          <w:lang w:val="sr-Cyrl-RS"/>
        </w:rPr>
        <w:t>утни објекат</w:t>
      </w:r>
      <w:r w:rsidR="00EA03C0" w:rsidRPr="00D56420">
        <w:rPr>
          <w:rFonts w:ascii="Times New Roman" w:hAnsi="Times New Roman" w:cs="Times New Roman"/>
          <w:lang w:val="sr-Cyrl-RS"/>
        </w:rPr>
        <w:t xml:space="preserve"> је грађевински објекат који је саставни (припадајући) део пута: мост, подвожњак, надвожњак, вијадукт, пропуст, тунел, галерија, потпорни зид, обложни зид и сл;</w:t>
      </w:r>
    </w:p>
    <w:p w14:paraId="3F390D32" w14:textId="0E38439A" w:rsidR="00EA03C0" w:rsidRPr="00D56420" w:rsidRDefault="00BC2BB7" w:rsidP="00FA3900">
      <w:pPr>
        <w:spacing w:after="0"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8</w:t>
      </w:r>
      <w:r w:rsidR="00EA03C0" w:rsidRPr="00D56420">
        <w:rPr>
          <w:rFonts w:ascii="Times New Roman" w:hAnsi="Times New Roman" w:cs="Times New Roman"/>
          <w:lang w:val="sr-Cyrl-RS"/>
        </w:rPr>
        <w:t xml:space="preserve">) </w:t>
      </w:r>
      <w:r w:rsidR="00E21F51" w:rsidRPr="00D56420">
        <w:rPr>
          <w:rFonts w:ascii="Times New Roman" w:hAnsi="Times New Roman" w:cs="Times New Roman"/>
          <w:i/>
          <w:iCs/>
          <w:lang w:val="sr-Cyrl-RS"/>
        </w:rPr>
        <w:t>е</w:t>
      </w:r>
      <w:r w:rsidR="00EA03C0" w:rsidRPr="00D56420">
        <w:rPr>
          <w:rFonts w:ascii="Times New Roman" w:hAnsi="Times New Roman" w:cs="Times New Roman"/>
          <w:i/>
          <w:iCs/>
          <w:lang w:val="sr-Cyrl-RS"/>
        </w:rPr>
        <w:t>квивалентни становник</w:t>
      </w:r>
      <w:r w:rsidR="00EA03C0" w:rsidRPr="00D56420">
        <w:rPr>
          <w:rFonts w:ascii="Times New Roman" w:hAnsi="Times New Roman" w:cs="Times New Roman"/>
          <w:lang w:val="sr-Cyrl-RS"/>
        </w:rPr>
        <w:t xml:space="preserve"> je oрганско биоразградиво оптерећење које има петодневну биохемијску потрошњу кисеоника од 60 </w:t>
      </w:r>
      <w:r w:rsidR="00C930E3" w:rsidRPr="00D56420">
        <w:rPr>
          <w:rFonts w:ascii="Times New Roman" w:hAnsi="Times New Roman" w:cs="Times New Roman"/>
          <w:lang w:val="sr-Cyrl-RS"/>
        </w:rPr>
        <w:t>g</w:t>
      </w:r>
      <w:r w:rsidR="00EA03C0" w:rsidRPr="00D56420">
        <w:rPr>
          <w:rFonts w:ascii="Times New Roman" w:hAnsi="Times New Roman" w:cs="Times New Roman"/>
          <w:lang w:val="sr-Cyrl-RS"/>
        </w:rPr>
        <w:t xml:space="preserve"> на дан;</w:t>
      </w:r>
    </w:p>
    <w:p w14:paraId="0ABC1534" w14:textId="101552FB" w:rsidR="00EA03C0" w:rsidRPr="00D56420" w:rsidRDefault="00BC2BB7" w:rsidP="00FA3900">
      <w:pPr>
        <w:spacing w:line="240" w:lineRule="auto"/>
        <w:ind w:firstLine="720"/>
        <w:jc w:val="both"/>
        <w:rPr>
          <w:b/>
          <w:bCs/>
          <w:lang w:val="sr-Cyrl-RS"/>
        </w:rPr>
      </w:pPr>
      <w:r w:rsidRPr="00D56420">
        <w:rPr>
          <w:rFonts w:ascii="Times New Roman" w:hAnsi="Times New Roman" w:cs="Times New Roman"/>
          <w:lang w:val="sr-Cyrl-RS"/>
        </w:rPr>
        <w:t>9</w:t>
      </w:r>
      <w:r w:rsidR="00E21F51" w:rsidRPr="00D56420">
        <w:rPr>
          <w:rFonts w:ascii="Times New Roman" w:hAnsi="Times New Roman" w:cs="Times New Roman"/>
          <w:lang w:val="sr-Cyrl-RS"/>
        </w:rPr>
        <w:t xml:space="preserve">) </w:t>
      </w:r>
      <w:r w:rsidR="00E21F51" w:rsidRPr="00D56420">
        <w:rPr>
          <w:rFonts w:ascii="Times New Roman" w:hAnsi="Times New Roman" w:cs="Times New Roman"/>
          <w:i/>
          <w:lang w:val="sr-Cyrl-RS"/>
        </w:rPr>
        <w:t>д</w:t>
      </w:r>
      <w:r w:rsidR="00EA03C0" w:rsidRPr="00D56420">
        <w:rPr>
          <w:rFonts w:ascii="Times New Roman" w:hAnsi="Times New Roman" w:cs="Times New Roman"/>
          <w:i/>
          <w:iCs/>
          <w:lang w:val="sr-Cyrl-RS"/>
        </w:rPr>
        <w:t>епонија</w:t>
      </w:r>
      <w:r w:rsidR="00EA03C0" w:rsidRPr="00D56420">
        <w:rPr>
          <w:rFonts w:ascii="Times New Roman" w:hAnsi="Times New Roman" w:cs="Times New Roman"/>
          <w:lang w:val="sr-Cyrl-RS"/>
        </w:rPr>
        <w:t xml:space="preserve"> је место за коначно санитарно одлагање отпада на површини или испод површине земље;</w:t>
      </w:r>
      <w:r w:rsidR="00EA03C0" w:rsidRPr="00D56420">
        <w:rPr>
          <w:b/>
          <w:bCs/>
          <w:lang w:val="sr-Cyrl-RS"/>
        </w:rPr>
        <w:t xml:space="preserve"> </w:t>
      </w:r>
    </w:p>
    <w:p w14:paraId="7E4A5B73" w14:textId="623676F9" w:rsidR="00EA03C0" w:rsidRPr="00D56420" w:rsidRDefault="00BC2BB7" w:rsidP="00FA3900">
      <w:pPr>
        <w:spacing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10</w:t>
      </w:r>
      <w:r w:rsidR="00EA03C0" w:rsidRPr="00D56420">
        <w:rPr>
          <w:rFonts w:ascii="Times New Roman" w:hAnsi="Times New Roman" w:cs="Times New Roman"/>
          <w:lang w:val="sr-Cyrl-RS"/>
        </w:rPr>
        <w:t xml:space="preserve">) </w:t>
      </w:r>
      <w:r w:rsidR="00E21F51" w:rsidRPr="00D56420">
        <w:rPr>
          <w:rFonts w:ascii="Times New Roman" w:hAnsi="Times New Roman" w:cs="Times New Roman"/>
          <w:i/>
          <w:iCs/>
          <w:lang w:val="sr-Cyrl-RS"/>
        </w:rPr>
        <w:t>с</w:t>
      </w:r>
      <w:r w:rsidR="00EA03C0" w:rsidRPr="00D56420">
        <w:rPr>
          <w:rFonts w:ascii="Times New Roman" w:hAnsi="Times New Roman" w:cs="Times New Roman"/>
          <w:i/>
          <w:iCs/>
          <w:lang w:val="sr-Cyrl-RS"/>
        </w:rPr>
        <w:t>кладиште</w:t>
      </w:r>
      <w:r w:rsidR="00EA03C0" w:rsidRPr="00D56420">
        <w:rPr>
          <w:rFonts w:ascii="Times New Roman" w:hAnsi="Times New Roman" w:cs="Times New Roman"/>
          <w:lang w:val="sr-Cyrl-RS"/>
        </w:rPr>
        <w:t xml:space="preserve"> је простор (ограђен или неограђен, по</w:t>
      </w:r>
      <w:r w:rsidR="00106887">
        <w:rPr>
          <w:rFonts w:ascii="Times New Roman" w:hAnsi="Times New Roman" w:cs="Times New Roman"/>
          <w:lang w:val="sr-Cyrl-RS"/>
        </w:rPr>
        <w:t>к</w:t>
      </w:r>
      <w:r w:rsidR="00EA03C0" w:rsidRPr="00D56420">
        <w:rPr>
          <w:rFonts w:ascii="Times New Roman" w:hAnsi="Times New Roman" w:cs="Times New Roman"/>
          <w:lang w:val="sr-Cyrl-RS"/>
        </w:rPr>
        <w:t>ривен или непокривен, отворен или затворен)</w:t>
      </w:r>
      <w:r w:rsidR="00493EB0" w:rsidRPr="00D56420">
        <w:rPr>
          <w:rFonts w:ascii="Times New Roman" w:hAnsi="Times New Roman" w:cs="Times New Roman"/>
          <w:lang w:val="sr-Cyrl-RS"/>
        </w:rPr>
        <w:t>,</w:t>
      </w:r>
      <w:r w:rsidR="00EA03C0" w:rsidRPr="00D56420">
        <w:rPr>
          <w:rFonts w:ascii="Times New Roman" w:hAnsi="Times New Roman" w:cs="Times New Roman"/>
          <w:lang w:val="sr-Cyrl-RS"/>
        </w:rPr>
        <w:t xml:space="preserve"> који служи за ускладиштење и/или чување сировина, полупроизвода, производа или отпада с намером да после одређеног времена буде укључен у даљи транспорт, производњу, прераду, дистрибуцију или потрошњу, који је за те сврхе изграђен и опремљен;</w:t>
      </w:r>
    </w:p>
    <w:p w14:paraId="05A34417" w14:textId="694BD501" w:rsidR="00EA03C0" w:rsidRPr="00D56420" w:rsidRDefault="00BC2BB7" w:rsidP="00FA3900">
      <w:pPr>
        <w:spacing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11</w:t>
      </w:r>
      <w:r w:rsidR="00EA03C0" w:rsidRPr="00D56420">
        <w:rPr>
          <w:rFonts w:ascii="Times New Roman" w:hAnsi="Times New Roman" w:cs="Times New Roman"/>
          <w:lang w:val="sr-Cyrl-RS"/>
        </w:rPr>
        <w:t>)</w:t>
      </w:r>
      <w:bookmarkStart w:id="2" w:name="_Hlk191038832"/>
      <w:r w:rsidR="00EA03C0" w:rsidRPr="00D56420">
        <w:rPr>
          <w:rFonts w:ascii="Times New Roman" w:hAnsi="Times New Roman" w:cs="Times New Roman"/>
          <w:lang w:val="sr-Cyrl-RS"/>
        </w:rPr>
        <w:t xml:space="preserve"> </w:t>
      </w:r>
      <w:r w:rsidR="00E21F51" w:rsidRPr="00D56420">
        <w:rPr>
          <w:rFonts w:ascii="Times New Roman" w:hAnsi="Times New Roman" w:cs="Times New Roman"/>
          <w:i/>
          <w:iCs/>
          <w:lang w:val="sr-Cyrl-RS"/>
        </w:rPr>
        <w:t>г</w:t>
      </w:r>
      <w:r w:rsidR="00EA03C0" w:rsidRPr="00D56420">
        <w:rPr>
          <w:rFonts w:ascii="Times New Roman" w:hAnsi="Times New Roman" w:cs="Times New Roman"/>
          <w:i/>
          <w:iCs/>
          <w:lang w:val="sr-Cyrl-RS"/>
        </w:rPr>
        <w:t xml:space="preserve">еолошко складиштење угљен-диоксида </w:t>
      </w:r>
      <w:bookmarkEnd w:id="2"/>
      <w:r w:rsidR="00EA03C0" w:rsidRPr="00D56420">
        <w:rPr>
          <w:rFonts w:ascii="Times New Roman" w:hAnsi="Times New Roman" w:cs="Times New Roman"/>
          <w:i/>
          <w:iCs/>
          <w:lang w:val="sr-Cyrl-RS"/>
        </w:rPr>
        <w:t>(</w:t>
      </w:r>
      <w:r w:rsidR="00EA03C0" w:rsidRPr="00D56420">
        <w:rPr>
          <w:rFonts w:ascii="Times New Roman" w:eastAsia="Times New Roman" w:hAnsi="Times New Roman" w:cs="Times New Roman"/>
          <w:i/>
          <w:iCs/>
          <w:kern w:val="0"/>
          <w:lang w:val="sr-Cyrl-RS"/>
          <w14:ligatures w14:val="none"/>
        </w:rPr>
        <w:t>CO</w:t>
      </w:r>
      <w:r w:rsidR="00EA03C0" w:rsidRPr="00D56420">
        <w:rPr>
          <w:rFonts w:ascii="Times New Roman" w:eastAsia="Times New Roman" w:hAnsi="Times New Roman" w:cs="Times New Roman"/>
          <w:i/>
          <w:iCs/>
          <w:kern w:val="0"/>
          <w:vertAlign w:val="subscript"/>
          <w:lang w:val="sr-Cyrl-RS"/>
          <w14:ligatures w14:val="none"/>
        </w:rPr>
        <w:t>2</w:t>
      </w:r>
      <w:r w:rsidR="00EA03C0" w:rsidRPr="00D56420">
        <w:rPr>
          <w:rFonts w:ascii="Times New Roman" w:hAnsi="Times New Roman" w:cs="Times New Roman"/>
          <w:i/>
          <w:iCs/>
          <w:lang w:val="sr-Cyrl-RS"/>
        </w:rPr>
        <w:t>)</w:t>
      </w:r>
      <w:r w:rsidR="00EA03C0" w:rsidRPr="00D56420">
        <w:rPr>
          <w:rFonts w:ascii="Times New Roman" w:hAnsi="Times New Roman" w:cs="Times New Roman"/>
          <w:lang w:val="sr-Cyrl-RS"/>
        </w:rPr>
        <w:t xml:space="preserve"> је убацивање праћено складиштењем токова угљен-диоксида у подземним геолошким формацијама;</w:t>
      </w:r>
    </w:p>
    <w:p w14:paraId="54AAB63A" w14:textId="01697735" w:rsidR="00666D64" w:rsidRPr="00D56420" w:rsidRDefault="00BC2BB7" w:rsidP="00666D64">
      <w:pPr>
        <w:spacing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12</w:t>
      </w:r>
      <w:r w:rsidR="00EA03C0" w:rsidRPr="00D56420">
        <w:rPr>
          <w:rFonts w:ascii="Times New Roman" w:hAnsi="Times New Roman" w:cs="Times New Roman"/>
          <w:lang w:val="sr-Cyrl-RS"/>
        </w:rPr>
        <w:t>)</w:t>
      </w:r>
      <w:r w:rsidR="00EA03C0" w:rsidRPr="00D56420">
        <w:rPr>
          <w:b/>
          <w:bCs/>
          <w:lang w:val="sr-Cyrl-RS"/>
        </w:rPr>
        <w:t xml:space="preserve"> </w:t>
      </w:r>
      <w:r w:rsidR="00E21F51" w:rsidRPr="00D56420">
        <w:rPr>
          <w:rFonts w:ascii="Times New Roman" w:hAnsi="Times New Roman" w:cs="Times New Roman"/>
          <w:i/>
          <w:iCs/>
          <w:lang w:val="sr-Cyrl-RS"/>
        </w:rPr>
        <w:t>т</w:t>
      </w:r>
      <w:r w:rsidR="00EA03C0" w:rsidRPr="00D56420">
        <w:rPr>
          <w:rFonts w:ascii="Times New Roman" w:hAnsi="Times New Roman" w:cs="Times New Roman"/>
          <w:i/>
          <w:iCs/>
          <w:lang w:val="sr-Cyrl-RS"/>
        </w:rPr>
        <w:t>ок угљен-диоксида (</w:t>
      </w:r>
      <w:r w:rsidR="00EA03C0" w:rsidRPr="00D56420">
        <w:rPr>
          <w:rFonts w:ascii="Times New Roman" w:eastAsia="Times New Roman" w:hAnsi="Times New Roman" w:cs="Times New Roman"/>
          <w:i/>
          <w:iCs/>
          <w:kern w:val="0"/>
          <w:lang w:val="sr-Cyrl-RS"/>
          <w14:ligatures w14:val="none"/>
        </w:rPr>
        <w:t>CO</w:t>
      </w:r>
      <w:r w:rsidR="00EA03C0" w:rsidRPr="00D56420">
        <w:rPr>
          <w:rFonts w:ascii="Times New Roman" w:eastAsia="Times New Roman" w:hAnsi="Times New Roman" w:cs="Times New Roman"/>
          <w:i/>
          <w:iCs/>
          <w:kern w:val="0"/>
          <w:vertAlign w:val="subscript"/>
          <w:lang w:val="sr-Cyrl-RS"/>
          <w14:ligatures w14:val="none"/>
        </w:rPr>
        <w:t>2</w:t>
      </w:r>
      <w:r w:rsidR="00EA03C0" w:rsidRPr="00D56420">
        <w:rPr>
          <w:rFonts w:ascii="Times New Roman" w:hAnsi="Times New Roman" w:cs="Times New Roman"/>
          <w:i/>
          <w:iCs/>
          <w:lang w:val="sr-Cyrl-RS"/>
        </w:rPr>
        <w:t>)</w:t>
      </w:r>
      <w:r w:rsidR="00EA03C0" w:rsidRPr="00D56420">
        <w:rPr>
          <w:rFonts w:ascii="Times New Roman" w:hAnsi="Times New Roman" w:cs="Times New Roman"/>
          <w:lang w:val="sr-Cyrl-RS"/>
        </w:rPr>
        <w:t xml:space="preserve"> је ток супстанци који је резултат процеса заробљавања </w:t>
      </w:r>
      <w:r w:rsidR="005040C9" w:rsidRPr="00D56420">
        <w:rPr>
          <w:rFonts w:ascii="Times New Roman" w:hAnsi="Times New Roman" w:cs="Times New Roman"/>
          <w:lang w:val="sr-Cyrl-RS"/>
        </w:rPr>
        <w:t>уг</w:t>
      </w:r>
      <w:r w:rsidR="00754599">
        <w:rPr>
          <w:rFonts w:ascii="Times New Roman" w:hAnsi="Times New Roman" w:cs="Times New Roman"/>
          <w:lang w:val="sr-Cyrl-RS"/>
        </w:rPr>
        <w:t>љ</w:t>
      </w:r>
      <w:r w:rsidR="005040C9" w:rsidRPr="00D56420">
        <w:rPr>
          <w:rFonts w:ascii="Times New Roman" w:hAnsi="Times New Roman" w:cs="Times New Roman"/>
          <w:lang w:val="sr-Cyrl-RS"/>
        </w:rPr>
        <w:t>ен-диоксида</w:t>
      </w:r>
      <w:bookmarkStart w:id="3" w:name="_Hlk197601594"/>
      <w:bookmarkEnd w:id="0"/>
      <w:r w:rsidR="00C33C07" w:rsidRPr="00D56420">
        <w:rPr>
          <w:rFonts w:ascii="Times New Roman" w:hAnsi="Times New Roman" w:cs="Times New Roman"/>
          <w:lang w:val="sr-Cyrl-RS"/>
        </w:rPr>
        <w:t>;</w:t>
      </w:r>
    </w:p>
    <w:p w14:paraId="1DD5C5D2" w14:textId="586F3A24" w:rsidR="00666D64" w:rsidRPr="00D56420" w:rsidRDefault="00666D64" w:rsidP="00666D64">
      <w:pPr>
        <w:spacing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 xml:space="preserve">13) </w:t>
      </w:r>
      <w:r w:rsidRPr="00D56420">
        <w:rPr>
          <w:rFonts w:ascii="Times New Roman" w:hAnsi="Times New Roman" w:cs="Times New Roman"/>
          <w:i/>
          <w:iCs/>
          <w:lang w:val="sr-Cyrl-RS"/>
        </w:rPr>
        <w:t>енергетске минералне сировине</w:t>
      </w:r>
      <w:r w:rsidRPr="00D56420">
        <w:rPr>
          <w:rFonts w:ascii="Times New Roman" w:hAnsi="Times New Roman" w:cs="Times New Roman"/>
          <w:lang w:val="sr-Cyrl-RS"/>
        </w:rPr>
        <w:t xml:space="preserve"> су нафта, земни гас, гасни кондензат, угаљ, уљни шкриљци, радиоактивне руде, земни восак – парафин и др;</w:t>
      </w:r>
    </w:p>
    <w:p w14:paraId="1CFD70EE" w14:textId="78B72C6E" w:rsidR="00666D64" w:rsidRPr="00D56420" w:rsidRDefault="00666D64" w:rsidP="00666D64">
      <w:pPr>
        <w:spacing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 xml:space="preserve">14) </w:t>
      </w:r>
      <w:r w:rsidRPr="00D56420">
        <w:rPr>
          <w:rFonts w:ascii="Times New Roman" w:hAnsi="Times New Roman" w:cs="Times New Roman"/>
          <w:i/>
          <w:iCs/>
          <w:lang w:val="sr-Cyrl-RS"/>
        </w:rPr>
        <w:t>неметаличне минералне сировине</w:t>
      </w:r>
      <w:r w:rsidRPr="00D56420">
        <w:rPr>
          <w:rFonts w:ascii="Times New Roman" w:hAnsi="Times New Roman" w:cs="Times New Roman"/>
          <w:lang w:val="sr-Cyrl-RS"/>
        </w:rPr>
        <w:t xml:space="preserve"> су неметаличне минералне сировине за  индустријску прераду: графит, сумпор, барит, лискуни, гипс, креда, кварц, кварцни песак, драго камење, глина, фелдспати, талк, туф, минералне сировине за производњу цемента (лапорац), борати, магнезит, </w:t>
      </w:r>
      <w:proofErr w:type="spellStart"/>
      <w:r w:rsidRPr="00D56420">
        <w:rPr>
          <w:rFonts w:ascii="Times New Roman" w:hAnsi="Times New Roman" w:cs="Times New Roman"/>
          <w:lang w:val="sr-Cyrl-RS"/>
        </w:rPr>
        <w:t>карбонатне</w:t>
      </w:r>
      <w:proofErr w:type="spellEnd"/>
      <w:r w:rsidRPr="00D56420">
        <w:rPr>
          <w:rFonts w:ascii="Times New Roman" w:hAnsi="Times New Roman" w:cs="Times New Roman"/>
          <w:lang w:val="sr-Cyrl-RS"/>
        </w:rPr>
        <w:t xml:space="preserve"> минералне сировине за индустријску прераду (кречњак и доломити), силикатне минералне сировине за индустријску прераду, соли, минералне воде из којих се добијају минералне сировине, сем минералних вода које се користе у лековите, бањске и рекреативне сврхе или као вода за пиће или другу намену на које се примењују прописи о водама, бром, јод, </w:t>
      </w:r>
      <w:proofErr w:type="spellStart"/>
      <w:r w:rsidRPr="00D56420">
        <w:rPr>
          <w:rFonts w:ascii="Times New Roman" w:hAnsi="Times New Roman" w:cs="Times New Roman"/>
          <w:lang w:val="sr-Cyrl-RS"/>
        </w:rPr>
        <w:t>пелоиди</w:t>
      </w:r>
      <w:proofErr w:type="spellEnd"/>
      <w:r w:rsidRPr="00D56420">
        <w:rPr>
          <w:rFonts w:ascii="Times New Roman" w:hAnsi="Times New Roman" w:cs="Times New Roman"/>
          <w:lang w:val="sr-Cyrl-RS"/>
        </w:rPr>
        <w:t xml:space="preserve"> -</w:t>
      </w:r>
      <w:r w:rsidR="005A1BF4">
        <w:rPr>
          <w:rFonts w:ascii="Times New Roman" w:hAnsi="Times New Roman" w:cs="Times New Roman"/>
          <w:lang w:val="sr-Cyrl-RS"/>
        </w:rPr>
        <w:t xml:space="preserve"> </w:t>
      </w:r>
      <w:r w:rsidRPr="00D56420">
        <w:rPr>
          <w:rFonts w:ascii="Times New Roman" w:hAnsi="Times New Roman" w:cs="Times New Roman"/>
          <w:lang w:val="sr-Cyrl-RS"/>
        </w:rPr>
        <w:t xml:space="preserve">природно лековито блато и др; и неметаличне минералне сировине за производњу грађевинског материјала: техничко - грађевински камен (амфиболит, андезит, базалт, дијабаз, гранит, доломит, кречњак), грађевински песак и шљунак из необновљивих лежишта, песак и шљунак добијен поступком речног и језерског багеровања, опекарска глина, тресет, архитектонско-грађевински камен и др; </w:t>
      </w:r>
    </w:p>
    <w:p w14:paraId="41E218BA" w14:textId="49A12EED" w:rsidR="00666D64" w:rsidRPr="00D56420" w:rsidRDefault="00666D64" w:rsidP="00666D64">
      <w:pPr>
        <w:spacing w:line="240" w:lineRule="auto"/>
        <w:ind w:firstLine="720"/>
        <w:jc w:val="both"/>
        <w:rPr>
          <w:rFonts w:ascii="Times New Roman" w:hAnsi="Times New Roman" w:cs="Times New Roman"/>
          <w:lang w:val="sr-Cyrl-RS"/>
        </w:rPr>
      </w:pPr>
      <w:r w:rsidRPr="00D56420">
        <w:rPr>
          <w:rFonts w:ascii="Times New Roman" w:hAnsi="Times New Roman" w:cs="Times New Roman"/>
          <w:lang w:val="sr-Cyrl-RS"/>
        </w:rPr>
        <w:t xml:space="preserve">15) </w:t>
      </w:r>
      <w:r w:rsidRPr="00D56420">
        <w:rPr>
          <w:rFonts w:ascii="Times New Roman" w:hAnsi="Times New Roman" w:cs="Times New Roman"/>
          <w:i/>
          <w:iCs/>
          <w:lang w:val="sr-Cyrl-RS"/>
        </w:rPr>
        <w:t>металичне минералне сировине</w:t>
      </w:r>
      <w:r w:rsidRPr="00D56420">
        <w:rPr>
          <w:rFonts w:ascii="Times New Roman" w:hAnsi="Times New Roman" w:cs="Times New Roman"/>
          <w:lang w:val="sr-Cyrl-RS"/>
        </w:rPr>
        <w:t xml:space="preserve"> су руде црних  метала – гвожђе, манган, хром, титанијум и др, руде обојених метала – бакар, олово, цинк, алуминијум, магнезијум и др, руде племенитих метала – сребро, злато, платина и др, руде ретких метала – никл, кобалт, волфрам, антимон, селен, стронцијум, жива и др;  руде ретких метала – литијум, германијум, берилијум, кармијум, индијум, галијум и др. </w:t>
      </w:r>
    </w:p>
    <w:p w14:paraId="19DB6F3D" w14:textId="77777777" w:rsidR="00666D64" w:rsidRPr="00D56420" w:rsidRDefault="00666D64" w:rsidP="00666D64">
      <w:pPr>
        <w:pStyle w:val="Normal1"/>
        <w:shd w:val="clear" w:color="auto" w:fill="FFFFFF"/>
        <w:jc w:val="center"/>
        <w:rPr>
          <w:color w:val="000000"/>
          <w:lang w:val="sr-Cyrl-RS"/>
        </w:rPr>
      </w:pPr>
    </w:p>
    <w:p w14:paraId="318364F7" w14:textId="77777777" w:rsidR="00666D64" w:rsidRPr="00D56420" w:rsidRDefault="00666D64" w:rsidP="00FA3900">
      <w:pPr>
        <w:spacing w:line="240" w:lineRule="auto"/>
        <w:ind w:firstLine="720"/>
        <w:jc w:val="both"/>
        <w:rPr>
          <w:rFonts w:ascii="Times New Roman" w:hAnsi="Times New Roman" w:cs="Times New Roman"/>
          <w:lang w:val="sr-Cyrl-RS"/>
        </w:rPr>
      </w:pPr>
    </w:p>
    <w:p w14:paraId="266CD197" w14:textId="77777777" w:rsidR="00EA03C0" w:rsidRPr="00D56420" w:rsidRDefault="00EA03C0" w:rsidP="00EA03C0">
      <w:pPr>
        <w:pStyle w:val="Normal1"/>
        <w:shd w:val="clear" w:color="auto" w:fill="FFFFFF"/>
        <w:jc w:val="center"/>
        <w:rPr>
          <w:color w:val="000000"/>
          <w:lang w:val="sr-Cyrl-RS"/>
        </w:rPr>
      </w:pPr>
      <w:r w:rsidRPr="00D56420">
        <w:rPr>
          <w:color w:val="000000"/>
          <w:lang w:val="sr-Cyrl-RS"/>
        </w:rPr>
        <w:lastRenderedPageBreak/>
        <w:t>Члан 3.</w:t>
      </w:r>
    </w:p>
    <w:p w14:paraId="37B16632" w14:textId="6E98AB21" w:rsidR="00EA03C0" w:rsidRPr="00D56420" w:rsidRDefault="00EA03C0" w:rsidP="00FA3900">
      <w:pPr>
        <w:pStyle w:val="Normal1"/>
        <w:ind w:firstLine="720"/>
        <w:jc w:val="both"/>
        <w:rPr>
          <w:color w:val="000000"/>
          <w:lang w:val="sr-Cyrl-RS"/>
        </w:rPr>
      </w:pPr>
      <w:r w:rsidRPr="00D56420">
        <w:rPr>
          <w:color w:val="000000"/>
          <w:lang w:val="sr-Cyrl-RS"/>
        </w:rPr>
        <w:t xml:space="preserve">Пројекти за које је обавезна процена утицаја на животну средину наведени су у Листи I која је </w:t>
      </w:r>
      <w:r w:rsidR="009B4AC2" w:rsidRPr="00D56420">
        <w:rPr>
          <w:color w:val="000000"/>
          <w:lang w:val="sr-Cyrl-RS"/>
        </w:rPr>
        <w:t xml:space="preserve">дата </w:t>
      </w:r>
      <w:r w:rsidR="00372020" w:rsidRPr="00D56420">
        <w:rPr>
          <w:color w:val="000000"/>
          <w:lang w:val="sr-Cyrl-RS"/>
        </w:rPr>
        <w:t>у Прилогу 1</w:t>
      </w:r>
      <w:r w:rsidR="009B4AC2" w:rsidRPr="00D56420">
        <w:rPr>
          <w:color w:val="000000"/>
          <w:lang w:val="sr-Cyrl-RS"/>
        </w:rPr>
        <w:t xml:space="preserve">, који је </w:t>
      </w:r>
      <w:r w:rsidR="00372020" w:rsidRPr="00D56420">
        <w:rPr>
          <w:color w:val="000000"/>
          <w:lang w:val="sr-Cyrl-RS"/>
        </w:rPr>
        <w:t xml:space="preserve"> </w:t>
      </w:r>
      <w:r w:rsidR="009B4AC2" w:rsidRPr="00D56420">
        <w:rPr>
          <w:color w:val="000000"/>
          <w:lang w:val="sr-Cyrl-RS"/>
        </w:rPr>
        <w:t xml:space="preserve">одштампан </w:t>
      </w:r>
      <w:r w:rsidRPr="00D56420">
        <w:rPr>
          <w:color w:val="000000"/>
          <w:lang w:val="sr-Cyrl-RS"/>
        </w:rPr>
        <w:t>уз ову</w:t>
      </w:r>
      <w:r w:rsidR="00A36CD7" w:rsidRPr="00D56420">
        <w:rPr>
          <w:color w:val="000000"/>
          <w:lang w:val="sr-Cyrl-RS"/>
        </w:rPr>
        <w:t xml:space="preserve"> уредбу и чини њен саставни део (у даљем тексту: Листа I).</w:t>
      </w:r>
    </w:p>
    <w:p w14:paraId="43FB1BD2" w14:textId="7BBADA89" w:rsidR="00EA03C0" w:rsidRPr="00D56420" w:rsidRDefault="00EA03C0" w:rsidP="00FA3900">
      <w:pPr>
        <w:pStyle w:val="Normal1"/>
        <w:ind w:firstLine="720"/>
        <w:jc w:val="both"/>
        <w:rPr>
          <w:color w:val="000000"/>
          <w:lang w:val="sr-Cyrl-RS"/>
        </w:rPr>
      </w:pPr>
      <w:r w:rsidRPr="00D56420">
        <w:rPr>
          <w:color w:val="000000"/>
          <w:lang w:val="sr-Cyrl-RS"/>
        </w:rPr>
        <w:t xml:space="preserve">Листа I из става 1. овог члана садржи назив пројекта, његов редни број, тачку и </w:t>
      </w:r>
      <w:proofErr w:type="spellStart"/>
      <w:r w:rsidRPr="00D56420">
        <w:rPr>
          <w:color w:val="000000"/>
          <w:lang w:val="sr-Cyrl-RS"/>
        </w:rPr>
        <w:t>подтачку</w:t>
      </w:r>
      <w:proofErr w:type="spellEnd"/>
      <w:r w:rsidRPr="00D56420">
        <w:rPr>
          <w:color w:val="000000"/>
          <w:lang w:val="sr-Cyrl-RS"/>
        </w:rPr>
        <w:t xml:space="preserve"> и, зависно од могућег утицаја на животну средину, његову величину, односно капацитет, површину или дужину. За пројекте код којих није наведена величина, односно капацитет, површина или дужина, процена утицаја на животну средину је обавезна за све пројекте те врсте, односно назива. </w:t>
      </w:r>
    </w:p>
    <w:p w14:paraId="7391C1A3" w14:textId="7576333C" w:rsidR="00EA03C0" w:rsidRPr="00D56420" w:rsidRDefault="00EA03C0" w:rsidP="002D514B">
      <w:pPr>
        <w:pStyle w:val="Normal1"/>
        <w:jc w:val="center"/>
        <w:rPr>
          <w:color w:val="000000" w:themeColor="text1"/>
          <w:lang w:val="sr-Cyrl-RS"/>
        </w:rPr>
      </w:pPr>
      <w:r w:rsidRPr="00D56420">
        <w:rPr>
          <w:color w:val="000000" w:themeColor="text1"/>
          <w:lang w:val="sr-Cyrl-RS"/>
        </w:rPr>
        <w:t>Члан 4.</w:t>
      </w:r>
    </w:p>
    <w:p w14:paraId="39BE72AA" w14:textId="71EA0679" w:rsidR="00EA03C0" w:rsidRPr="00D56420" w:rsidRDefault="00EA03C0" w:rsidP="00FA3900">
      <w:pPr>
        <w:pStyle w:val="Normal1"/>
        <w:ind w:firstLine="720"/>
        <w:jc w:val="both"/>
        <w:rPr>
          <w:color w:val="000000"/>
          <w:lang w:val="sr-Cyrl-RS"/>
        </w:rPr>
      </w:pPr>
      <w:r w:rsidRPr="00D56420">
        <w:rPr>
          <w:color w:val="000000"/>
          <w:lang w:val="sr-Cyrl-RS"/>
        </w:rPr>
        <w:t>П</w:t>
      </w:r>
      <w:r w:rsidRPr="00D56420">
        <w:rPr>
          <w:color w:val="000000" w:themeColor="text1"/>
          <w:lang w:val="sr-Cyrl-RS"/>
        </w:rPr>
        <w:t xml:space="preserve">ројекти за које постоји </w:t>
      </w:r>
      <w:bookmarkStart w:id="4" w:name="_Hlk191041281"/>
      <w:r w:rsidRPr="00D56420">
        <w:rPr>
          <w:color w:val="000000" w:themeColor="text1"/>
          <w:lang w:val="sr-Cyrl-RS"/>
        </w:rPr>
        <w:t xml:space="preserve">обавеза подношења захтева за одлучивање о потреби процене утицаја наведени су у Листи </w:t>
      </w:r>
      <w:r w:rsidRPr="00D56420">
        <w:rPr>
          <w:color w:val="000000"/>
          <w:lang w:val="sr-Cyrl-RS"/>
        </w:rPr>
        <w:t xml:space="preserve">II која је </w:t>
      </w:r>
      <w:r w:rsidR="009B4AC2" w:rsidRPr="00D56420">
        <w:rPr>
          <w:color w:val="000000"/>
          <w:lang w:val="sr-Cyrl-RS"/>
        </w:rPr>
        <w:t xml:space="preserve">дата </w:t>
      </w:r>
      <w:r w:rsidR="00372020" w:rsidRPr="00D56420">
        <w:rPr>
          <w:color w:val="000000"/>
          <w:lang w:val="sr-Cyrl-RS"/>
        </w:rPr>
        <w:t>у Прилогу 2</w:t>
      </w:r>
      <w:r w:rsidR="009B4AC2" w:rsidRPr="00D56420">
        <w:rPr>
          <w:color w:val="000000"/>
          <w:lang w:val="sr-Cyrl-RS"/>
        </w:rPr>
        <w:t xml:space="preserve">, који је одштампан </w:t>
      </w:r>
      <w:r w:rsidRPr="00D56420">
        <w:rPr>
          <w:color w:val="000000"/>
          <w:lang w:val="sr-Cyrl-RS"/>
        </w:rPr>
        <w:t>уз ову уредбу и чини њен саставни део</w:t>
      </w:r>
      <w:bookmarkEnd w:id="4"/>
      <w:r w:rsidR="00A36CD7" w:rsidRPr="00D56420">
        <w:rPr>
          <w:color w:val="000000"/>
          <w:lang w:val="sr-Cyrl-RS"/>
        </w:rPr>
        <w:t xml:space="preserve"> (у даљем тексту: Листа II).</w:t>
      </w:r>
    </w:p>
    <w:p w14:paraId="2849DA4A" w14:textId="42AE38E7" w:rsidR="00EA03C0" w:rsidRPr="00D56420" w:rsidRDefault="00EA03C0" w:rsidP="00267BEA">
      <w:pPr>
        <w:pStyle w:val="Normal1"/>
        <w:ind w:firstLine="720"/>
        <w:jc w:val="both"/>
        <w:rPr>
          <w:color w:val="000000"/>
          <w:lang w:val="sr-Cyrl-RS"/>
        </w:rPr>
      </w:pPr>
      <w:r w:rsidRPr="00D56420">
        <w:rPr>
          <w:color w:val="000000"/>
          <w:lang w:val="sr-Cyrl-RS"/>
        </w:rPr>
        <w:t xml:space="preserve">Листа II из става 1. овог члана садржи назив пројекта, разврстаног у одговарајућу привредну грану којој припада означену редним бројем, тачку и подтачку уз назив пројекта и, зависно од могућег утицаја на животну средину, његову величину, односно капацитет, површину или дужину. За пројекте код којих није наведена величина, односно капацитет, површина или дужина, обавеза подношења захтева за одлучивање о потреби процене утицаја је обавезна за све пројекте те врсте, односно назива.  </w:t>
      </w:r>
    </w:p>
    <w:p w14:paraId="34480B32" w14:textId="77777777" w:rsidR="00EA03C0" w:rsidRPr="00D56420" w:rsidRDefault="00EA03C0" w:rsidP="00EA03C0">
      <w:pPr>
        <w:pStyle w:val="Normal1"/>
        <w:jc w:val="center"/>
        <w:rPr>
          <w:color w:val="000000"/>
          <w:lang w:val="sr-Cyrl-RS"/>
        </w:rPr>
      </w:pPr>
      <w:r w:rsidRPr="00D56420">
        <w:rPr>
          <w:color w:val="000000"/>
          <w:lang w:val="sr-Cyrl-RS"/>
        </w:rPr>
        <w:t>Члан 5.</w:t>
      </w:r>
    </w:p>
    <w:p w14:paraId="4AE24D7D" w14:textId="2C186CBD" w:rsidR="00EA03C0" w:rsidRPr="00D56420" w:rsidRDefault="00EA03C0" w:rsidP="00267BEA">
      <w:pPr>
        <w:pStyle w:val="Normal1"/>
        <w:ind w:firstLine="720"/>
        <w:jc w:val="both"/>
        <w:rPr>
          <w:color w:val="000000"/>
          <w:lang w:val="sr-Cyrl-RS"/>
        </w:rPr>
      </w:pPr>
      <w:bookmarkStart w:id="5" w:name="_Hlk198550891"/>
      <w:r w:rsidRPr="00D56420">
        <w:rPr>
          <w:color w:val="000000"/>
          <w:lang w:val="sr-Cyrl-RS"/>
        </w:rPr>
        <w:t xml:space="preserve">Критеријуми </w:t>
      </w:r>
      <w:bookmarkStart w:id="6" w:name="_Hlk191043050"/>
      <w:r w:rsidRPr="00D56420">
        <w:rPr>
          <w:color w:val="000000"/>
          <w:lang w:val="sr-Cyrl-RS"/>
        </w:rPr>
        <w:t xml:space="preserve">за одлучивање о потреби процене утицаја за пројекте за које постоји обавеза подношења захтева за одлучивање о потреби процене утицаја </w:t>
      </w:r>
      <w:bookmarkEnd w:id="6"/>
      <w:r w:rsidR="00D33336" w:rsidRPr="00D56420">
        <w:rPr>
          <w:color w:val="000000"/>
          <w:lang w:val="sr-Cyrl-RS"/>
        </w:rPr>
        <w:t xml:space="preserve">дати </w:t>
      </w:r>
      <w:r w:rsidRPr="00D56420">
        <w:rPr>
          <w:color w:val="000000"/>
          <w:lang w:val="sr-Cyrl-RS"/>
        </w:rPr>
        <w:t xml:space="preserve">су у Прилогу </w:t>
      </w:r>
      <w:r w:rsidR="00931ABE" w:rsidRPr="00D56420">
        <w:rPr>
          <w:color w:val="000000"/>
          <w:lang w:val="sr-Cyrl-RS"/>
        </w:rPr>
        <w:t>3</w:t>
      </w:r>
      <w:r w:rsidR="00D33336" w:rsidRPr="00D56420">
        <w:rPr>
          <w:color w:val="000000"/>
          <w:lang w:val="sr-Cyrl-RS"/>
        </w:rPr>
        <w:t>, који је одштампан уз</w:t>
      </w:r>
      <w:r w:rsidR="00931ABE" w:rsidRPr="00D56420">
        <w:rPr>
          <w:color w:val="000000"/>
          <w:lang w:val="sr-Cyrl-RS"/>
        </w:rPr>
        <w:t xml:space="preserve"> </w:t>
      </w:r>
      <w:r w:rsidRPr="00D56420">
        <w:rPr>
          <w:color w:val="000000"/>
          <w:lang w:val="sr-Cyrl-RS"/>
        </w:rPr>
        <w:t>ов</w:t>
      </w:r>
      <w:r w:rsidR="00D33336" w:rsidRPr="00D56420">
        <w:rPr>
          <w:color w:val="000000"/>
          <w:lang w:val="sr-Cyrl-RS"/>
        </w:rPr>
        <w:t>у</w:t>
      </w:r>
      <w:r w:rsidRPr="00D56420">
        <w:rPr>
          <w:color w:val="000000"/>
          <w:lang w:val="sr-Cyrl-RS"/>
        </w:rPr>
        <w:t xml:space="preserve"> уредб</w:t>
      </w:r>
      <w:bookmarkEnd w:id="5"/>
      <w:r w:rsidR="00D33336" w:rsidRPr="00D56420">
        <w:rPr>
          <w:color w:val="000000"/>
          <w:lang w:val="sr-Cyrl-RS"/>
        </w:rPr>
        <w:t>у и чини њен саставни</w:t>
      </w:r>
      <w:r w:rsidRPr="00D56420">
        <w:rPr>
          <w:color w:val="000000"/>
          <w:lang w:val="sr-Cyrl-RS"/>
        </w:rPr>
        <w:t xml:space="preserve"> део.</w:t>
      </w:r>
    </w:p>
    <w:p w14:paraId="66C38375" w14:textId="536D26D2" w:rsidR="00EA03C0" w:rsidRPr="00D56420" w:rsidRDefault="00EA03C0" w:rsidP="00267BEA">
      <w:pPr>
        <w:pStyle w:val="Normal1"/>
        <w:ind w:firstLine="720"/>
        <w:jc w:val="both"/>
        <w:rPr>
          <w:color w:val="000000"/>
          <w:lang w:val="sr-Cyrl-RS"/>
        </w:rPr>
      </w:pPr>
      <w:r w:rsidRPr="00D56420">
        <w:rPr>
          <w:color w:val="000000"/>
          <w:lang w:val="sr-Cyrl-RS"/>
        </w:rPr>
        <w:t xml:space="preserve">Критеријуме из става 1. овог члана </w:t>
      </w:r>
      <w:bookmarkStart w:id="7" w:name="_Hlk198550954"/>
      <w:r w:rsidRPr="00D56420">
        <w:rPr>
          <w:color w:val="000000"/>
          <w:lang w:val="sr-Cyrl-RS"/>
        </w:rPr>
        <w:t>чине три групе, и то:</w:t>
      </w:r>
      <w:bookmarkStart w:id="8" w:name="_Hlk191043336"/>
      <w:r w:rsidRPr="00D56420">
        <w:rPr>
          <w:color w:val="000000"/>
          <w:lang w:val="sr-Cyrl-RS"/>
        </w:rPr>
        <w:t xml:space="preserve"> критеријуми који се од</w:t>
      </w:r>
      <w:r w:rsidR="00C15A37" w:rsidRPr="00D56420">
        <w:rPr>
          <w:color w:val="000000"/>
          <w:lang w:val="sr-Cyrl-RS"/>
        </w:rPr>
        <w:t>носе на карактеристике пројекта,</w:t>
      </w:r>
      <w:r w:rsidRPr="00D56420">
        <w:rPr>
          <w:color w:val="000000"/>
          <w:lang w:val="sr-Cyrl-RS"/>
        </w:rPr>
        <w:t xml:space="preserve"> критеријуми који се односе на мес</w:t>
      </w:r>
      <w:r w:rsidR="00C15A37" w:rsidRPr="00D56420">
        <w:rPr>
          <w:color w:val="000000"/>
          <w:lang w:val="sr-Cyrl-RS"/>
        </w:rPr>
        <w:t>то (локацију) извођења пројекта</w:t>
      </w:r>
      <w:r w:rsidRPr="00D56420">
        <w:rPr>
          <w:color w:val="000000"/>
          <w:lang w:val="sr-Cyrl-RS"/>
        </w:rPr>
        <w:t xml:space="preserve"> и полазећи од ове две групе критеријума, критеријуме који се односе на процену могућих утицаја пројекта. </w:t>
      </w:r>
      <w:bookmarkEnd w:id="8"/>
    </w:p>
    <w:p w14:paraId="3F88ECDE" w14:textId="382BA9DA" w:rsidR="00EA03C0" w:rsidRPr="00D56420" w:rsidRDefault="00EA03C0" w:rsidP="00267BEA">
      <w:pPr>
        <w:pStyle w:val="Normal1"/>
        <w:ind w:firstLine="720"/>
        <w:jc w:val="both"/>
        <w:rPr>
          <w:color w:val="000000"/>
          <w:lang w:val="sr-Cyrl-RS"/>
        </w:rPr>
      </w:pPr>
      <w:r w:rsidRPr="00D56420">
        <w:rPr>
          <w:color w:val="000000"/>
          <w:lang w:val="sr-Cyrl-RS"/>
        </w:rPr>
        <w:t>Применом критеријума из става 1. овог члана доноси се одлука у сваком појединачном случају о потреби процене утицаја на животну средину одређеног пројекта са Листе II.</w:t>
      </w:r>
      <w:bookmarkEnd w:id="7"/>
    </w:p>
    <w:p w14:paraId="02F3E5BB" w14:textId="77777777" w:rsidR="00EA03C0" w:rsidRPr="00D56420" w:rsidRDefault="00EA03C0" w:rsidP="00A51023">
      <w:pPr>
        <w:pStyle w:val="Normal1"/>
        <w:jc w:val="center"/>
        <w:rPr>
          <w:color w:val="000000"/>
          <w:lang w:val="sr-Cyrl-RS"/>
        </w:rPr>
      </w:pPr>
      <w:r w:rsidRPr="00D56420">
        <w:rPr>
          <w:color w:val="000000"/>
          <w:lang w:val="sr-Cyrl-RS"/>
        </w:rPr>
        <w:t>Члан 6.</w:t>
      </w:r>
    </w:p>
    <w:p w14:paraId="612F6155" w14:textId="4FEB3EB2" w:rsidR="00931ABE" w:rsidRPr="00D56420" w:rsidRDefault="00EA03C0" w:rsidP="00267BEA">
      <w:pPr>
        <w:pStyle w:val="Normal1"/>
        <w:shd w:val="clear" w:color="auto" w:fill="FFFFFF"/>
        <w:ind w:firstLine="720"/>
        <w:jc w:val="both"/>
        <w:rPr>
          <w:color w:val="000000" w:themeColor="text1"/>
          <w:lang w:val="sr-Cyrl-RS"/>
        </w:rPr>
      </w:pPr>
      <w:r w:rsidRPr="00D56420">
        <w:rPr>
          <w:color w:val="000000"/>
          <w:lang w:val="sr-Cyrl-RS"/>
        </w:rPr>
        <w:t>Д</w:t>
      </w:r>
      <w:bookmarkStart w:id="9" w:name="_Hlk191043861"/>
      <w:r w:rsidRPr="00D56420">
        <w:rPr>
          <w:color w:val="000000"/>
          <w:lang w:val="sr-Cyrl-RS"/>
        </w:rPr>
        <w:t xml:space="preserve">аном ступања на снагу ове уредбе престаје да важи Уредба о утврђивању Листе пројеката за које је обавезна процена утицаја и Листе пројеката за које се може захтевати процена утицаја на животну средину </w:t>
      </w:r>
      <w:r w:rsidRPr="00D56420">
        <w:rPr>
          <w:color w:val="000000" w:themeColor="text1"/>
          <w:lang w:val="sr-Cyrl-RS"/>
        </w:rPr>
        <w:t>(„Службени гласник РС</w:t>
      </w:r>
      <w:r w:rsidR="00C15A37" w:rsidRPr="00D56420">
        <w:rPr>
          <w:color w:val="000000" w:themeColor="text1"/>
          <w:lang w:val="sr-Cyrl-RS"/>
        </w:rPr>
        <w:t>ˮ</w:t>
      </w:r>
      <w:r w:rsidR="007269DC" w:rsidRPr="00D56420">
        <w:rPr>
          <w:color w:val="000000" w:themeColor="text1"/>
          <w:lang w:val="sr-Cyrl-RS"/>
        </w:rPr>
        <w:t>, број 114/</w:t>
      </w:r>
      <w:r w:rsidRPr="00D56420">
        <w:rPr>
          <w:color w:val="000000" w:themeColor="text1"/>
          <w:lang w:val="sr-Cyrl-RS"/>
        </w:rPr>
        <w:t>08).</w:t>
      </w:r>
      <w:bookmarkEnd w:id="9"/>
    </w:p>
    <w:p w14:paraId="0ED10397" w14:textId="7A1DCD8A" w:rsidR="00983588" w:rsidRPr="00D56420" w:rsidRDefault="00983588" w:rsidP="00267BEA">
      <w:pPr>
        <w:pStyle w:val="Normal1"/>
        <w:shd w:val="clear" w:color="auto" w:fill="FFFFFF"/>
        <w:ind w:firstLine="720"/>
        <w:jc w:val="both"/>
        <w:rPr>
          <w:color w:val="000000" w:themeColor="text1"/>
          <w:lang w:val="sr-Cyrl-RS"/>
        </w:rPr>
      </w:pPr>
    </w:p>
    <w:p w14:paraId="646317E6" w14:textId="77777777" w:rsidR="00983588" w:rsidRPr="00D56420" w:rsidRDefault="00983588" w:rsidP="00267BEA">
      <w:pPr>
        <w:pStyle w:val="Normal1"/>
        <w:shd w:val="clear" w:color="auto" w:fill="FFFFFF"/>
        <w:ind w:firstLine="720"/>
        <w:jc w:val="both"/>
        <w:rPr>
          <w:color w:val="000000" w:themeColor="text1"/>
          <w:lang w:val="sr-Cyrl-RS"/>
        </w:rPr>
      </w:pPr>
    </w:p>
    <w:p w14:paraId="47603D76" w14:textId="2B0B079A" w:rsidR="00EA03C0" w:rsidRPr="00D56420" w:rsidRDefault="00EA03C0" w:rsidP="00A51023">
      <w:pPr>
        <w:pStyle w:val="Normal1"/>
        <w:shd w:val="clear" w:color="auto" w:fill="FFFFFF"/>
        <w:jc w:val="center"/>
        <w:rPr>
          <w:color w:val="000000" w:themeColor="text1"/>
          <w:lang w:val="sr-Cyrl-RS"/>
        </w:rPr>
      </w:pPr>
      <w:r w:rsidRPr="00D56420">
        <w:rPr>
          <w:color w:val="000000" w:themeColor="text1"/>
          <w:lang w:val="sr-Cyrl-RS"/>
        </w:rPr>
        <w:lastRenderedPageBreak/>
        <w:t>Члан 7.</w:t>
      </w:r>
    </w:p>
    <w:p w14:paraId="5222A365" w14:textId="4B8D932D" w:rsidR="00EA03C0" w:rsidRPr="00D56420" w:rsidRDefault="00EA03C0" w:rsidP="00267BEA">
      <w:pPr>
        <w:pStyle w:val="Normal1"/>
        <w:shd w:val="clear" w:color="auto" w:fill="FFFFFF"/>
        <w:ind w:firstLine="720"/>
        <w:jc w:val="both"/>
        <w:rPr>
          <w:color w:val="000000" w:themeColor="text1"/>
          <w:lang w:val="sr-Cyrl-RS"/>
        </w:rPr>
      </w:pPr>
      <w:r w:rsidRPr="00D56420">
        <w:rPr>
          <w:color w:val="000000" w:themeColor="text1"/>
          <w:lang w:val="sr-Cyrl-RS"/>
        </w:rPr>
        <w:t xml:space="preserve">Ова уредба </w:t>
      </w:r>
      <w:bookmarkStart w:id="10" w:name="_Hlk191044007"/>
      <w:r w:rsidRPr="00D56420">
        <w:rPr>
          <w:color w:val="000000" w:themeColor="text1"/>
          <w:lang w:val="sr-Cyrl-RS"/>
        </w:rPr>
        <w:t xml:space="preserve">ступа на снагу осмог дана од дана објављивања у „Службеном гласнику Републике </w:t>
      </w:r>
      <w:proofErr w:type="spellStart"/>
      <w:r w:rsidRPr="00D56420">
        <w:rPr>
          <w:color w:val="000000" w:themeColor="text1"/>
          <w:lang w:val="sr-Cyrl-RS"/>
        </w:rPr>
        <w:t>Србије</w:t>
      </w:r>
      <w:r w:rsidR="00230CB3" w:rsidRPr="00D56420">
        <w:rPr>
          <w:color w:val="000000" w:themeColor="text1"/>
          <w:lang w:val="sr-Cyrl-RS"/>
        </w:rPr>
        <w:t>ˮ</w:t>
      </w:r>
      <w:proofErr w:type="spellEnd"/>
      <w:r w:rsidRPr="00D56420">
        <w:rPr>
          <w:color w:val="000000" w:themeColor="text1"/>
          <w:lang w:val="sr-Cyrl-RS"/>
        </w:rPr>
        <w:t>.</w:t>
      </w:r>
    </w:p>
    <w:p w14:paraId="5C31AFB4" w14:textId="7FF9236E" w:rsidR="00BC2BB7" w:rsidRPr="00D56420" w:rsidRDefault="00BC2BB7" w:rsidP="00A364D4">
      <w:pPr>
        <w:pStyle w:val="Normal1"/>
        <w:shd w:val="clear" w:color="auto" w:fill="FFFFFF"/>
        <w:spacing w:before="0" w:beforeAutospacing="0" w:after="0" w:afterAutospacing="0"/>
        <w:ind w:left="144"/>
        <w:jc w:val="both"/>
        <w:rPr>
          <w:color w:val="000000" w:themeColor="text1"/>
          <w:lang w:val="sr-Cyrl-RS"/>
        </w:rPr>
      </w:pPr>
    </w:p>
    <w:p w14:paraId="735C19BE" w14:textId="5162AFD6" w:rsidR="00AC02C1" w:rsidRPr="00D56420" w:rsidRDefault="00AC02C1" w:rsidP="00A364D4">
      <w:pPr>
        <w:spacing w:after="0"/>
        <w:ind w:left="144"/>
        <w:rPr>
          <w:rFonts w:ascii="Times New Roman" w:hAnsi="Times New Roman" w:cs="Times New Roman"/>
          <w:lang w:val="sr-Cyrl-RS"/>
        </w:rPr>
      </w:pPr>
      <w:r w:rsidRPr="00D56420">
        <w:rPr>
          <w:rFonts w:ascii="Times New Roman" w:hAnsi="Times New Roman" w:cs="Times New Roman"/>
          <w:lang w:val="sr-Cyrl-RS"/>
        </w:rPr>
        <w:t>05 Број:</w:t>
      </w:r>
      <w:r w:rsidR="00CE2987">
        <w:rPr>
          <w:rFonts w:ascii="Times New Roman" w:hAnsi="Times New Roman" w:cs="Times New Roman"/>
          <w:lang w:val="sr-Cyrl-RS"/>
        </w:rPr>
        <w:t xml:space="preserve"> 110-13120/2025-2</w:t>
      </w:r>
    </w:p>
    <w:p w14:paraId="2F548529" w14:textId="3D5468B1" w:rsidR="00AC02C1" w:rsidRPr="00D56420" w:rsidRDefault="00AC02C1" w:rsidP="00A364D4">
      <w:pPr>
        <w:spacing w:after="0"/>
        <w:ind w:left="144"/>
        <w:rPr>
          <w:rFonts w:ascii="Times New Roman" w:hAnsi="Times New Roman" w:cs="Times New Roman"/>
          <w:lang w:val="sr-Cyrl-RS"/>
        </w:rPr>
      </w:pPr>
      <w:r w:rsidRPr="00D56420">
        <w:rPr>
          <w:rFonts w:ascii="Times New Roman" w:hAnsi="Times New Roman" w:cs="Times New Roman"/>
          <w:lang w:val="sr-Cyrl-RS"/>
        </w:rPr>
        <w:t xml:space="preserve">У Београду,  </w:t>
      </w:r>
      <w:r w:rsidR="00CE2987">
        <w:rPr>
          <w:rFonts w:ascii="Times New Roman" w:hAnsi="Times New Roman" w:cs="Times New Roman"/>
          <w:lang w:val="sr-Cyrl-RS"/>
        </w:rPr>
        <w:t>27. новембра 2025. године</w:t>
      </w:r>
    </w:p>
    <w:p w14:paraId="0C3CBD63" w14:textId="190D1137" w:rsidR="00AC02C1" w:rsidRPr="00D56420" w:rsidRDefault="00AC02C1" w:rsidP="00AC02C1">
      <w:pPr>
        <w:rPr>
          <w:rFonts w:ascii="Times New Roman" w:hAnsi="Times New Roman" w:cs="Times New Roman"/>
          <w:lang w:val="sr-Cyrl-RS"/>
        </w:rPr>
      </w:pPr>
    </w:p>
    <w:p w14:paraId="113A3DFC" w14:textId="77777777" w:rsidR="00AC02C1" w:rsidRPr="00D56420" w:rsidRDefault="00AC02C1" w:rsidP="00AC02C1">
      <w:pPr>
        <w:jc w:val="center"/>
        <w:rPr>
          <w:rFonts w:ascii="Times New Roman" w:hAnsi="Times New Roman" w:cs="Times New Roman"/>
          <w:lang w:val="sr-Cyrl-RS"/>
        </w:rPr>
      </w:pPr>
      <w:r w:rsidRPr="00D56420">
        <w:rPr>
          <w:rFonts w:ascii="Times New Roman" w:hAnsi="Times New Roman" w:cs="Times New Roman"/>
          <w:lang w:val="sr-Cyrl-RS"/>
        </w:rPr>
        <w:t>В Л А Д А</w:t>
      </w:r>
    </w:p>
    <w:p w14:paraId="016E47C3" w14:textId="0524F90E" w:rsidR="00AC02C1" w:rsidRPr="00D56420" w:rsidRDefault="00AC02C1" w:rsidP="00AC02C1">
      <w:pPr>
        <w:rPr>
          <w:rFonts w:ascii="Times New Roman" w:hAnsi="Times New Roman" w:cs="Times New Roman"/>
          <w:lang w:val="sr-Cyrl-RS"/>
        </w:rPr>
      </w:pPr>
    </w:p>
    <w:p w14:paraId="7EC3BF08" w14:textId="0E271B13" w:rsidR="00AC02C1" w:rsidRDefault="00A364D4" w:rsidP="00A364D4">
      <w:pPr>
        <w:jc w:val="center"/>
        <w:rPr>
          <w:rFonts w:ascii="Times New Roman" w:hAnsi="Times New Roman" w:cs="Times New Roman"/>
          <w:lang w:val="sr-Cyrl-RS"/>
        </w:rPr>
      </w:pPr>
      <w:r>
        <w:rPr>
          <w:rFonts w:ascii="Times New Roman" w:hAnsi="Times New Roman" w:cs="Times New Roman"/>
          <w:lang w:val="sr-Cyrl-RS"/>
        </w:rPr>
        <w:t xml:space="preserve">                                                                                                       </w:t>
      </w:r>
      <w:r w:rsidR="00AC02C1" w:rsidRPr="00D56420">
        <w:rPr>
          <w:rFonts w:ascii="Times New Roman" w:hAnsi="Times New Roman" w:cs="Times New Roman"/>
          <w:lang w:val="sr-Cyrl-RS"/>
        </w:rPr>
        <w:t>ПРЕДСЕДНИК</w:t>
      </w:r>
    </w:p>
    <w:p w14:paraId="4053C151" w14:textId="2629A22F" w:rsidR="00A364D4" w:rsidRPr="00D56420" w:rsidRDefault="00A364D4" w:rsidP="00AC02C1">
      <w:pPr>
        <w:jc w:val="right"/>
        <w:rPr>
          <w:rFonts w:ascii="Times New Roman" w:hAnsi="Times New Roman" w:cs="Times New Roman"/>
          <w:lang w:val="sr-Cyrl-RS"/>
        </w:rPr>
      </w:pPr>
      <w:proofErr w:type="spellStart"/>
      <w:r>
        <w:rPr>
          <w:rFonts w:ascii="Times New Roman" w:hAnsi="Times New Roman" w:cs="Times New Roman"/>
          <w:lang w:val="sr-Cyrl-RS"/>
        </w:rPr>
        <w:t>проф</w:t>
      </w:r>
      <w:proofErr w:type="spellEnd"/>
      <w:r>
        <w:rPr>
          <w:rFonts w:ascii="Times New Roman" w:hAnsi="Times New Roman" w:cs="Times New Roman"/>
          <w:lang w:val="sr-Cyrl-RS"/>
        </w:rPr>
        <w:t xml:space="preserve">. др Ђуро Мацут, </w:t>
      </w:r>
      <w:proofErr w:type="spellStart"/>
      <w:r>
        <w:rPr>
          <w:rFonts w:ascii="Times New Roman" w:hAnsi="Times New Roman" w:cs="Times New Roman"/>
          <w:lang w:val="sr-Cyrl-RS"/>
        </w:rPr>
        <w:t>с.р</w:t>
      </w:r>
      <w:proofErr w:type="spellEnd"/>
      <w:r>
        <w:rPr>
          <w:rFonts w:ascii="Times New Roman" w:hAnsi="Times New Roman" w:cs="Times New Roman"/>
          <w:lang w:val="sr-Cyrl-RS"/>
        </w:rPr>
        <w:t>.</w:t>
      </w:r>
    </w:p>
    <w:p w14:paraId="368499C6" w14:textId="77777777" w:rsidR="00AC02C1" w:rsidRPr="00D56420" w:rsidRDefault="00AC02C1" w:rsidP="00AC02C1">
      <w:pPr>
        <w:rPr>
          <w:rFonts w:ascii="Times New Roman" w:hAnsi="Times New Roman" w:cs="Times New Roman"/>
          <w:lang w:val="sr-Cyrl-RS"/>
        </w:rPr>
      </w:pPr>
    </w:p>
    <w:bookmarkEnd w:id="3"/>
    <w:bookmarkEnd w:id="10"/>
    <w:p w14:paraId="540011BC" w14:textId="26C10D0E" w:rsidR="00267BEA" w:rsidRPr="00D56420" w:rsidRDefault="00267BEA" w:rsidP="00EA03C0">
      <w:pPr>
        <w:pStyle w:val="Normal1"/>
        <w:shd w:val="clear" w:color="auto" w:fill="FFFFFF"/>
        <w:rPr>
          <w:color w:val="000000" w:themeColor="text1"/>
          <w:lang w:val="sr-Cyrl-RS"/>
        </w:rPr>
      </w:pPr>
    </w:p>
    <w:sectPr w:rsidR="00267BEA" w:rsidRPr="00D56420" w:rsidSect="0025628B">
      <w:footerReference w:type="defaul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DD6E8" w14:textId="77777777" w:rsidR="000F11E7" w:rsidRDefault="000F11E7" w:rsidP="003E10CE">
      <w:pPr>
        <w:spacing w:after="0" w:line="240" w:lineRule="auto"/>
      </w:pPr>
      <w:r>
        <w:separator/>
      </w:r>
    </w:p>
  </w:endnote>
  <w:endnote w:type="continuationSeparator" w:id="0">
    <w:p w14:paraId="48AA8598" w14:textId="77777777" w:rsidR="000F11E7" w:rsidRDefault="000F11E7" w:rsidP="003E1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4255340"/>
      <w:docPartObj>
        <w:docPartGallery w:val="Page Numbers (Bottom of Page)"/>
        <w:docPartUnique/>
      </w:docPartObj>
    </w:sdtPr>
    <w:sdtEndPr>
      <w:rPr>
        <w:noProof/>
      </w:rPr>
    </w:sdtEndPr>
    <w:sdtContent>
      <w:p w14:paraId="2208B2A8" w14:textId="70F943EA" w:rsidR="003E10CE" w:rsidRDefault="003E10CE">
        <w:pPr>
          <w:pStyle w:val="Footer"/>
          <w:jc w:val="center"/>
        </w:pPr>
        <w:r>
          <w:fldChar w:fldCharType="begin"/>
        </w:r>
        <w:r>
          <w:instrText xml:space="preserve"> PAGE   \* MERGEFORMAT </w:instrText>
        </w:r>
        <w:r>
          <w:fldChar w:fldCharType="separate"/>
        </w:r>
        <w:r w:rsidR="00983588">
          <w:rPr>
            <w:noProof/>
          </w:rPr>
          <w:t>4</w:t>
        </w:r>
        <w:r>
          <w:rPr>
            <w:noProof/>
          </w:rPr>
          <w:fldChar w:fldCharType="end"/>
        </w:r>
      </w:p>
    </w:sdtContent>
  </w:sdt>
  <w:p w14:paraId="40B8D3EF" w14:textId="77777777" w:rsidR="003E10CE" w:rsidRDefault="003E10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04BD4" w14:textId="77777777" w:rsidR="000F11E7" w:rsidRDefault="000F11E7" w:rsidP="003E10CE">
      <w:pPr>
        <w:spacing w:after="0" w:line="240" w:lineRule="auto"/>
      </w:pPr>
      <w:r>
        <w:separator/>
      </w:r>
    </w:p>
  </w:footnote>
  <w:footnote w:type="continuationSeparator" w:id="0">
    <w:p w14:paraId="08CE5F22" w14:textId="77777777" w:rsidR="000F11E7" w:rsidRDefault="000F11E7" w:rsidP="003E10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2DEB"/>
    <w:multiLevelType w:val="hybridMultilevel"/>
    <w:tmpl w:val="8500D490"/>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6E651A"/>
    <w:multiLevelType w:val="hybridMultilevel"/>
    <w:tmpl w:val="A2ECBBF4"/>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A1046F"/>
    <w:multiLevelType w:val="hybridMultilevel"/>
    <w:tmpl w:val="A62C60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F7435"/>
    <w:multiLevelType w:val="hybridMultilevel"/>
    <w:tmpl w:val="EF60CBFC"/>
    <w:lvl w:ilvl="0" w:tplc="B7B07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D6F5E"/>
    <w:multiLevelType w:val="hybridMultilevel"/>
    <w:tmpl w:val="78FA873E"/>
    <w:lvl w:ilvl="0" w:tplc="8D6842C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793613"/>
    <w:multiLevelType w:val="hybridMultilevel"/>
    <w:tmpl w:val="54BABDE6"/>
    <w:lvl w:ilvl="0" w:tplc="19449D7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C383A"/>
    <w:multiLevelType w:val="hybridMultilevel"/>
    <w:tmpl w:val="42F662E4"/>
    <w:lvl w:ilvl="0" w:tplc="1DD4C06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D00A03"/>
    <w:multiLevelType w:val="hybridMultilevel"/>
    <w:tmpl w:val="9A308C84"/>
    <w:lvl w:ilvl="0" w:tplc="4092B236">
      <w:start w:val="1"/>
      <w:numFmt w:val="bullet"/>
      <w:lvlText w:val="-"/>
      <w:lvlJc w:val="left"/>
      <w:pPr>
        <w:ind w:left="720" w:hanging="360"/>
      </w:pPr>
      <w:rPr>
        <w:rFonts w:ascii="Verdana" w:eastAsia="Times New Roman" w:hAnsi="Verdana"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51111E"/>
    <w:multiLevelType w:val="hybridMultilevel"/>
    <w:tmpl w:val="D74C2734"/>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2821C4"/>
    <w:multiLevelType w:val="hybridMultilevel"/>
    <w:tmpl w:val="0570DDC4"/>
    <w:lvl w:ilvl="0" w:tplc="33B87720">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09222E"/>
    <w:multiLevelType w:val="hybridMultilevel"/>
    <w:tmpl w:val="095A2F44"/>
    <w:lvl w:ilvl="0" w:tplc="04090011">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866521F"/>
    <w:multiLevelType w:val="hybridMultilevel"/>
    <w:tmpl w:val="A9D0298A"/>
    <w:lvl w:ilvl="0" w:tplc="260C250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3278E0"/>
    <w:multiLevelType w:val="hybridMultilevel"/>
    <w:tmpl w:val="0F465F08"/>
    <w:lvl w:ilvl="0" w:tplc="8D6842C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453112"/>
    <w:multiLevelType w:val="hybridMultilevel"/>
    <w:tmpl w:val="7D967C2A"/>
    <w:lvl w:ilvl="0" w:tplc="60E2137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310E3E"/>
    <w:multiLevelType w:val="hybridMultilevel"/>
    <w:tmpl w:val="4398B28E"/>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6BC5A0B"/>
    <w:multiLevelType w:val="hybridMultilevel"/>
    <w:tmpl w:val="4E1036E2"/>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8171E4"/>
    <w:multiLevelType w:val="hybridMultilevel"/>
    <w:tmpl w:val="07E2D88E"/>
    <w:lvl w:ilvl="0" w:tplc="70EA353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9B05DA"/>
    <w:multiLevelType w:val="hybridMultilevel"/>
    <w:tmpl w:val="3A16B07C"/>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AF0F5D"/>
    <w:multiLevelType w:val="hybridMultilevel"/>
    <w:tmpl w:val="EE46801E"/>
    <w:lvl w:ilvl="0" w:tplc="550AEB0C">
      <w:start w:val="4"/>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FC094D"/>
    <w:multiLevelType w:val="hybridMultilevel"/>
    <w:tmpl w:val="5EA09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9C528A"/>
    <w:multiLevelType w:val="hybridMultilevel"/>
    <w:tmpl w:val="6EFAE14C"/>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692B7D"/>
    <w:multiLevelType w:val="hybridMultilevel"/>
    <w:tmpl w:val="1CEE4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09416A"/>
    <w:multiLevelType w:val="hybridMultilevel"/>
    <w:tmpl w:val="5D866DFC"/>
    <w:lvl w:ilvl="0" w:tplc="9FE6A2EA">
      <w:start w:val="2"/>
      <w:numFmt w:val="bullet"/>
      <w:lvlText w:val="-"/>
      <w:lvlJc w:val="left"/>
      <w:pPr>
        <w:ind w:left="720" w:hanging="360"/>
      </w:pPr>
      <w:rPr>
        <w:rFonts w:ascii="Times New Roman" w:eastAsia="Times New Roman" w:hAnsi="Times New Roman" w:cs="Times New Roman" w:hint="default"/>
        <w:color w:val="FF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924BF9"/>
    <w:multiLevelType w:val="hybridMultilevel"/>
    <w:tmpl w:val="C4A218EA"/>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2041C3"/>
    <w:multiLevelType w:val="hybridMultilevel"/>
    <w:tmpl w:val="2EA4A41C"/>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275BAB"/>
    <w:multiLevelType w:val="hybridMultilevel"/>
    <w:tmpl w:val="16564BE6"/>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5D6061"/>
    <w:multiLevelType w:val="hybridMultilevel"/>
    <w:tmpl w:val="66BCCA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1">
      <w:start w:val="1"/>
      <w:numFmt w:val="decimal"/>
      <w:lvlText w:val="%5)"/>
      <w:lvlJc w:val="left"/>
      <w:pPr>
        <w:ind w:left="45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DA6D1A"/>
    <w:multiLevelType w:val="hybridMultilevel"/>
    <w:tmpl w:val="F584624C"/>
    <w:lvl w:ilvl="0" w:tplc="A88EC82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D24F94"/>
    <w:multiLevelType w:val="hybridMultilevel"/>
    <w:tmpl w:val="B672AA28"/>
    <w:lvl w:ilvl="0" w:tplc="62C46F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295920"/>
    <w:multiLevelType w:val="hybridMultilevel"/>
    <w:tmpl w:val="C31455A6"/>
    <w:lvl w:ilvl="0" w:tplc="8D6842C4">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434B74"/>
    <w:multiLevelType w:val="multilevel"/>
    <w:tmpl w:val="DD22DF64"/>
    <w:lvl w:ilvl="0">
      <w:start w:val="1"/>
      <w:numFmt w:val="decimal"/>
      <w:lvlText w:val="%1)"/>
      <w:lvlJc w:val="left"/>
      <w:pPr>
        <w:ind w:left="360" w:hanging="360"/>
      </w:pPr>
    </w:lvl>
    <w:lvl w:ilvl="1">
      <w:start w:val="1"/>
      <w:numFmt w:val="lowerLetter"/>
      <w:lvlText w:val="%2)"/>
      <w:lvlJc w:val="left"/>
      <w:pPr>
        <w:ind w:left="990" w:hanging="360"/>
      </w:pPr>
    </w:lvl>
    <w:lvl w:ilvl="2">
      <w:numFmt w:val="bullet"/>
      <w:lvlText w:val="-"/>
      <w:lvlJc w:val="left"/>
      <w:pPr>
        <w:ind w:left="1350" w:hanging="360"/>
      </w:pPr>
      <w:rPr>
        <w:rFonts w:ascii="Verdana" w:eastAsia="Times New Roman" w:hAnsi="Verdana" w:cs="Times New Roman" w:hint="default"/>
      </w:rPr>
    </w:lvl>
    <w:lvl w:ilvl="3">
      <w:start w:val="1"/>
      <w:numFmt w:val="decimal"/>
      <w:lvlText w:val="(%4)"/>
      <w:lvlJc w:val="left"/>
      <w:pPr>
        <w:ind w:left="1710" w:hanging="360"/>
      </w:pPr>
    </w:lvl>
    <w:lvl w:ilvl="4">
      <w:start w:val="1"/>
      <w:numFmt w:val="lowerLetter"/>
      <w:lvlText w:val="(%5)"/>
      <w:lvlJc w:val="left"/>
      <w:pPr>
        <w:ind w:left="2070" w:hanging="360"/>
      </w:pPr>
    </w:lvl>
    <w:lvl w:ilvl="5">
      <w:start w:val="1"/>
      <w:numFmt w:val="lowerRoman"/>
      <w:lvlText w:val="(%6)"/>
      <w:lvlJc w:val="left"/>
      <w:pPr>
        <w:ind w:left="2430" w:hanging="360"/>
      </w:pPr>
    </w:lvl>
    <w:lvl w:ilvl="6">
      <w:start w:val="1"/>
      <w:numFmt w:val="decimal"/>
      <w:lvlText w:val="%7."/>
      <w:lvlJc w:val="left"/>
      <w:pPr>
        <w:ind w:left="2790" w:hanging="360"/>
      </w:pPr>
    </w:lvl>
    <w:lvl w:ilvl="7">
      <w:start w:val="1"/>
      <w:numFmt w:val="lowerLetter"/>
      <w:lvlText w:val="%8."/>
      <w:lvlJc w:val="left"/>
      <w:pPr>
        <w:ind w:left="3150" w:hanging="360"/>
      </w:pPr>
    </w:lvl>
    <w:lvl w:ilvl="8">
      <w:start w:val="1"/>
      <w:numFmt w:val="lowerRoman"/>
      <w:lvlText w:val="%9."/>
      <w:lvlJc w:val="left"/>
      <w:pPr>
        <w:ind w:left="3510" w:hanging="360"/>
      </w:pPr>
    </w:lvl>
  </w:abstractNum>
  <w:abstractNum w:abstractNumId="31" w15:restartNumberingAfterBreak="0">
    <w:nsid w:val="7BAF3A82"/>
    <w:multiLevelType w:val="hybridMultilevel"/>
    <w:tmpl w:val="B9C09B44"/>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C42CF6"/>
    <w:multiLevelType w:val="hybridMultilevel"/>
    <w:tmpl w:val="D7F2F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333D24"/>
    <w:multiLevelType w:val="hybridMultilevel"/>
    <w:tmpl w:val="8CAAFE4C"/>
    <w:lvl w:ilvl="0" w:tplc="99BE767A">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3"/>
  </w:num>
  <w:num w:numId="4">
    <w:abstractNumId w:val="28"/>
  </w:num>
  <w:num w:numId="5">
    <w:abstractNumId w:val="9"/>
  </w:num>
  <w:num w:numId="6">
    <w:abstractNumId w:val="31"/>
  </w:num>
  <w:num w:numId="7">
    <w:abstractNumId w:val="0"/>
  </w:num>
  <w:num w:numId="8">
    <w:abstractNumId w:val="22"/>
  </w:num>
  <w:num w:numId="9">
    <w:abstractNumId w:val="25"/>
  </w:num>
  <w:num w:numId="10">
    <w:abstractNumId w:val="17"/>
  </w:num>
  <w:num w:numId="11">
    <w:abstractNumId w:val="7"/>
  </w:num>
  <w:num w:numId="12">
    <w:abstractNumId w:val="14"/>
  </w:num>
  <w:num w:numId="13">
    <w:abstractNumId w:val="29"/>
  </w:num>
  <w:num w:numId="14">
    <w:abstractNumId w:val="12"/>
  </w:num>
  <w:num w:numId="15">
    <w:abstractNumId w:val="1"/>
  </w:num>
  <w:num w:numId="16">
    <w:abstractNumId w:val="18"/>
  </w:num>
  <w:num w:numId="17">
    <w:abstractNumId w:val="15"/>
  </w:num>
  <w:num w:numId="18">
    <w:abstractNumId w:val="23"/>
  </w:num>
  <w:num w:numId="19">
    <w:abstractNumId w:val="4"/>
  </w:num>
  <w:num w:numId="20">
    <w:abstractNumId w:val="20"/>
  </w:num>
  <w:num w:numId="21">
    <w:abstractNumId w:val="26"/>
  </w:num>
  <w:num w:numId="22">
    <w:abstractNumId w:val="30"/>
  </w:num>
  <w:num w:numId="23">
    <w:abstractNumId w:val="24"/>
  </w:num>
  <w:num w:numId="24">
    <w:abstractNumId w:val="10"/>
  </w:num>
  <w:num w:numId="25">
    <w:abstractNumId w:val="27"/>
  </w:num>
  <w:num w:numId="26">
    <w:abstractNumId w:val="11"/>
  </w:num>
  <w:num w:numId="27">
    <w:abstractNumId w:val="21"/>
  </w:num>
  <w:num w:numId="28">
    <w:abstractNumId w:val="19"/>
  </w:num>
  <w:num w:numId="29">
    <w:abstractNumId w:val="32"/>
  </w:num>
  <w:num w:numId="30">
    <w:abstractNumId w:val="16"/>
  </w:num>
  <w:num w:numId="31">
    <w:abstractNumId w:val="8"/>
  </w:num>
  <w:num w:numId="32">
    <w:abstractNumId w:val="13"/>
  </w:num>
  <w:num w:numId="33">
    <w:abstractNumId w:val="6"/>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3C0"/>
    <w:rsid w:val="00015F35"/>
    <w:rsid w:val="0004167A"/>
    <w:rsid w:val="00093BCC"/>
    <w:rsid w:val="000A2F4A"/>
    <w:rsid w:val="000C691B"/>
    <w:rsid w:val="000D2BA8"/>
    <w:rsid w:val="000E11D6"/>
    <w:rsid w:val="000F11E7"/>
    <w:rsid w:val="00106887"/>
    <w:rsid w:val="001962FE"/>
    <w:rsid w:val="00217025"/>
    <w:rsid w:val="00230CB3"/>
    <w:rsid w:val="00235E15"/>
    <w:rsid w:val="002367A7"/>
    <w:rsid w:val="0025628B"/>
    <w:rsid w:val="00267BEA"/>
    <w:rsid w:val="002C06C7"/>
    <w:rsid w:val="002C6F51"/>
    <w:rsid w:val="002D514B"/>
    <w:rsid w:val="0034746F"/>
    <w:rsid w:val="00372020"/>
    <w:rsid w:val="003A0EEF"/>
    <w:rsid w:val="003E0882"/>
    <w:rsid w:val="003E10CE"/>
    <w:rsid w:val="004317D3"/>
    <w:rsid w:val="00493EB0"/>
    <w:rsid w:val="004E73A8"/>
    <w:rsid w:val="005040C9"/>
    <w:rsid w:val="005260CB"/>
    <w:rsid w:val="00561C99"/>
    <w:rsid w:val="005658C2"/>
    <w:rsid w:val="00596534"/>
    <w:rsid w:val="005A1BF4"/>
    <w:rsid w:val="005B2EC4"/>
    <w:rsid w:val="006006F1"/>
    <w:rsid w:val="00603938"/>
    <w:rsid w:val="00654AEE"/>
    <w:rsid w:val="00666D64"/>
    <w:rsid w:val="006775E1"/>
    <w:rsid w:val="006811F8"/>
    <w:rsid w:val="007269DC"/>
    <w:rsid w:val="0073154E"/>
    <w:rsid w:val="00754599"/>
    <w:rsid w:val="007737DA"/>
    <w:rsid w:val="007B70C6"/>
    <w:rsid w:val="007E032E"/>
    <w:rsid w:val="008B2F00"/>
    <w:rsid w:val="008F7ED7"/>
    <w:rsid w:val="00931ABE"/>
    <w:rsid w:val="009361D3"/>
    <w:rsid w:val="00940524"/>
    <w:rsid w:val="00983588"/>
    <w:rsid w:val="009B4AC2"/>
    <w:rsid w:val="00A364D4"/>
    <w:rsid w:val="00A36CD7"/>
    <w:rsid w:val="00A51023"/>
    <w:rsid w:val="00A57470"/>
    <w:rsid w:val="00A64B9D"/>
    <w:rsid w:val="00A75F68"/>
    <w:rsid w:val="00AC02C1"/>
    <w:rsid w:val="00AE45FE"/>
    <w:rsid w:val="00B066B5"/>
    <w:rsid w:val="00B4246C"/>
    <w:rsid w:val="00B5792E"/>
    <w:rsid w:val="00BC2BB7"/>
    <w:rsid w:val="00C15A37"/>
    <w:rsid w:val="00C33C07"/>
    <w:rsid w:val="00C41206"/>
    <w:rsid w:val="00C930E3"/>
    <w:rsid w:val="00CB2B4A"/>
    <w:rsid w:val="00CE2987"/>
    <w:rsid w:val="00CF5562"/>
    <w:rsid w:val="00D33336"/>
    <w:rsid w:val="00D56420"/>
    <w:rsid w:val="00D62D39"/>
    <w:rsid w:val="00D905DB"/>
    <w:rsid w:val="00E15787"/>
    <w:rsid w:val="00E17A68"/>
    <w:rsid w:val="00E21F51"/>
    <w:rsid w:val="00E31A7F"/>
    <w:rsid w:val="00E54F45"/>
    <w:rsid w:val="00EA03C0"/>
    <w:rsid w:val="00F13DE6"/>
    <w:rsid w:val="00F35D81"/>
    <w:rsid w:val="00F44BC5"/>
    <w:rsid w:val="00F540D5"/>
    <w:rsid w:val="00F81A21"/>
    <w:rsid w:val="00FA3900"/>
    <w:rsid w:val="00FC4889"/>
    <w:rsid w:val="00FE0E96"/>
    <w:rsid w:val="00FE2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5A171"/>
  <w15:docId w15:val="{D9E6EDC1-B85B-42FE-B870-BDAAEF25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3C0"/>
  </w:style>
  <w:style w:type="paragraph" w:styleId="Heading1">
    <w:name w:val="heading 1"/>
    <w:basedOn w:val="Normal"/>
    <w:next w:val="Normal"/>
    <w:link w:val="Heading1Char"/>
    <w:uiPriority w:val="9"/>
    <w:qFormat/>
    <w:rsid w:val="00EA03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03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03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03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03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03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03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03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03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03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03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03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03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03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03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03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03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03C0"/>
    <w:rPr>
      <w:rFonts w:eastAsiaTheme="majorEastAsia" w:cstheme="majorBidi"/>
      <w:color w:val="272727" w:themeColor="text1" w:themeTint="D8"/>
    </w:rPr>
  </w:style>
  <w:style w:type="paragraph" w:styleId="Title">
    <w:name w:val="Title"/>
    <w:basedOn w:val="Normal"/>
    <w:next w:val="Normal"/>
    <w:link w:val="TitleChar"/>
    <w:uiPriority w:val="10"/>
    <w:qFormat/>
    <w:rsid w:val="00EA03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03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03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03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03C0"/>
    <w:pPr>
      <w:spacing w:before="160"/>
      <w:jc w:val="center"/>
    </w:pPr>
    <w:rPr>
      <w:i/>
      <w:iCs/>
      <w:color w:val="404040" w:themeColor="text1" w:themeTint="BF"/>
    </w:rPr>
  </w:style>
  <w:style w:type="character" w:customStyle="1" w:styleId="QuoteChar">
    <w:name w:val="Quote Char"/>
    <w:basedOn w:val="DefaultParagraphFont"/>
    <w:link w:val="Quote"/>
    <w:uiPriority w:val="29"/>
    <w:rsid w:val="00EA03C0"/>
    <w:rPr>
      <w:i/>
      <w:iCs/>
      <w:color w:val="404040" w:themeColor="text1" w:themeTint="BF"/>
    </w:rPr>
  </w:style>
  <w:style w:type="paragraph" w:styleId="ListParagraph">
    <w:name w:val="List Paragraph"/>
    <w:basedOn w:val="Normal"/>
    <w:uiPriority w:val="34"/>
    <w:qFormat/>
    <w:rsid w:val="00EA03C0"/>
    <w:pPr>
      <w:ind w:left="720"/>
      <w:contextualSpacing/>
    </w:pPr>
  </w:style>
  <w:style w:type="character" w:styleId="IntenseEmphasis">
    <w:name w:val="Intense Emphasis"/>
    <w:basedOn w:val="DefaultParagraphFont"/>
    <w:uiPriority w:val="21"/>
    <w:qFormat/>
    <w:rsid w:val="00EA03C0"/>
    <w:rPr>
      <w:i/>
      <w:iCs/>
      <w:color w:val="0F4761" w:themeColor="accent1" w:themeShade="BF"/>
    </w:rPr>
  </w:style>
  <w:style w:type="paragraph" w:styleId="IntenseQuote">
    <w:name w:val="Intense Quote"/>
    <w:basedOn w:val="Normal"/>
    <w:next w:val="Normal"/>
    <w:link w:val="IntenseQuoteChar"/>
    <w:uiPriority w:val="30"/>
    <w:qFormat/>
    <w:rsid w:val="00EA03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03C0"/>
    <w:rPr>
      <w:i/>
      <w:iCs/>
      <w:color w:val="0F4761" w:themeColor="accent1" w:themeShade="BF"/>
    </w:rPr>
  </w:style>
  <w:style w:type="character" w:styleId="IntenseReference">
    <w:name w:val="Intense Reference"/>
    <w:basedOn w:val="DefaultParagraphFont"/>
    <w:uiPriority w:val="32"/>
    <w:qFormat/>
    <w:rsid w:val="00EA03C0"/>
    <w:rPr>
      <w:b/>
      <w:bCs/>
      <w:smallCaps/>
      <w:color w:val="0F4761" w:themeColor="accent1" w:themeShade="BF"/>
      <w:spacing w:val="5"/>
    </w:rPr>
  </w:style>
  <w:style w:type="paragraph" w:customStyle="1" w:styleId="Normal1">
    <w:name w:val="Normal1"/>
    <w:basedOn w:val="Normal"/>
    <w:rsid w:val="00EA03C0"/>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FootnoteText">
    <w:name w:val="footnote text"/>
    <w:basedOn w:val="Normal"/>
    <w:link w:val="FootnoteTextChar"/>
    <w:uiPriority w:val="99"/>
    <w:semiHidden/>
    <w:unhideWhenUsed/>
    <w:rsid w:val="00EA03C0"/>
    <w:pPr>
      <w:spacing w:after="0" w:line="240" w:lineRule="auto"/>
    </w:pPr>
    <w:rPr>
      <w:kern w:val="0"/>
      <w:sz w:val="20"/>
      <w:szCs w:val="20"/>
      <w14:ligatures w14:val="none"/>
    </w:rPr>
  </w:style>
  <w:style w:type="character" w:customStyle="1" w:styleId="FootnoteTextChar">
    <w:name w:val="Footnote Text Char"/>
    <w:basedOn w:val="DefaultParagraphFont"/>
    <w:link w:val="FootnoteText"/>
    <w:uiPriority w:val="99"/>
    <w:semiHidden/>
    <w:rsid w:val="00EA03C0"/>
    <w:rPr>
      <w:kern w:val="0"/>
      <w:sz w:val="20"/>
      <w:szCs w:val="20"/>
      <w14:ligatures w14:val="none"/>
    </w:rPr>
  </w:style>
  <w:style w:type="character" w:styleId="FootnoteReference">
    <w:name w:val="footnote reference"/>
    <w:basedOn w:val="DefaultParagraphFont"/>
    <w:uiPriority w:val="99"/>
    <w:semiHidden/>
    <w:unhideWhenUsed/>
    <w:rsid w:val="00EA03C0"/>
    <w:rPr>
      <w:vertAlign w:val="superscript"/>
    </w:rPr>
  </w:style>
  <w:style w:type="table" w:customStyle="1" w:styleId="TableGridLight1">
    <w:name w:val="Table Grid Light1"/>
    <w:basedOn w:val="TableNormal"/>
    <w:uiPriority w:val="40"/>
    <w:rsid w:val="00EA03C0"/>
    <w:pPr>
      <w:spacing w:after="0" w:line="240" w:lineRule="auto"/>
    </w:pPr>
    <w:rPr>
      <w:kern w:val="0"/>
      <w:sz w:val="22"/>
      <w:szCs w:val="22"/>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EA03C0"/>
    <w:rPr>
      <w:color w:val="467886" w:themeColor="hyperlink"/>
      <w:u w:val="single"/>
    </w:rPr>
  </w:style>
  <w:style w:type="paragraph" w:styleId="Header">
    <w:name w:val="header"/>
    <w:basedOn w:val="Normal"/>
    <w:link w:val="HeaderChar"/>
    <w:uiPriority w:val="99"/>
    <w:unhideWhenUsed/>
    <w:rsid w:val="003E10CE"/>
    <w:pPr>
      <w:tabs>
        <w:tab w:val="center" w:pos="4703"/>
        <w:tab w:val="right" w:pos="9406"/>
      </w:tabs>
      <w:spacing w:after="0" w:line="240" w:lineRule="auto"/>
    </w:pPr>
  </w:style>
  <w:style w:type="character" w:customStyle="1" w:styleId="HeaderChar">
    <w:name w:val="Header Char"/>
    <w:basedOn w:val="DefaultParagraphFont"/>
    <w:link w:val="Header"/>
    <w:uiPriority w:val="99"/>
    <w:rsid w:val="003E10CE"/>
  </w:style>
  <w:style w:type="paragraph" w:styleId="Footer">
    <w:name w:val="footer"/>
    <w:basedOn w:val="Normal"/>
    <w:link w:val="FooterChar"/>
    <w:uiPriority w:val="99"/>
    <w:unhideWhenUsed/>
    <w:rsid w:val="003E10CE"/>
    <w:pPr>
      <w:tabs>
        <w:tab w:val="center" w:pos="4703"/>
        <w:tab w:val="right" w:pos="9406"/>
      </w:tabs>
      <w:spacing w:after="0" w:line="240" w:lineRule="auto"/>
    </w:pPr>
  </w:style>
  <w:style w:type="character" w:customStyle="1" w:styleId="FooterChar">
    <w:name w:val="Footer Char"/>
    <w:basedOn w:val="DefaultParagraphFont"/>
    <w:link w:val="Footer"/>
    <w:uiPriority w:val="99"/>
    <w:rsid w:val="003E1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wikipedia.org/wiki/%D0%95%D0%BA%D0%BE%D0%BB%D0%BE%D0%B3%D0%B8%D1%98%D0%B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r.wikipedia.org/w/index.php?title=%D0%91%D0%B5%D1%80%D0%BD%D1%81%D0%BA%D0%B0_%D0%9A%D0%BE%D0%BD%D0%B2%D0%B5%D0%BD%D1%86%D0%B8%D1%98%D0%B0&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32A21-D310-4F83-BA8D-6D0A6727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Milica Durać</dc:creator>
  <cp:lastModifiedBy>Andjelka Opacic</cp:lastModifiedBy>
  <cp:revision>14</cp:revision>
  <cp:lastPrinted>2025-11-10T12:23:00Z</cp:lastPrinted>
  <dcterms:created xsi:type="dcterms:W3CDTF">2025-11-28T10:59:00Z</dcterms:created>
  <dcterms:modified xsi:type="dcterms:W3CDTF">2025-11-28T11:33:00Z</dcterms:modified>
</cp:coreProperties>
</file>